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1345F" w14:textId="77777777" w:rsidR="00521B5E" w:rsidRDefault="001A17D5">
      <w:pPr>
        <w:pStyle w:val="Title"/>
        <w:spacing w:line="242" w:lineRule="auto"/>
      </w:pPr>
      <w:bookmarkStart w:id="0" w:name="_GoBack"/>
      <w:bookmarkEnd w:id="0"/>
      <w:r>
        <w:t>OWNERSHIP,</w:t>
      </w:r>
      <w:r>
        <w:rPr>
          <w:spacing w:val="-6"/>
        </w:rPr>
        <w:t xml:space="preserve"> </w:t>
      </w:r>
      <w:r>
        <w:t>DIVIDENDS,</w:t>
      </w:r>
      <w:r>
        <w:rPr>
          <w:spacing w:val="-6"/>
        </w:rPr>
        <w:t xml:space="preserve"> </w:t>
      </w:r>
      <w:r>
        <w:t>AND</w:t>
      </w:r>
      <w:r>
        <w:rPr>
          <w:spacing w:val="-8"/>
        </w:rPr>
        <w:t xml:space="preserve"> </w:t>
      </w:r>
      <w:r>
        <w:t>CAPITAL</w:t>
      </w:r>
      <w:r>
        <w:rPr>
          <w:spacing w:val="-9"/>
        </w:rPr>
        <w:t xml:space="preserve"> </w:t>
      </w:r>
      <w:r>
        <w:t>INTENSITY:</w:t>
      </w:r>
      <w:r>
        <w:rPr>
          <w:spacing w:val="-7"/>
        </w:rPr>
        <w:t xml:space="preserve"> </w:t>
      </w:r>
      <w:r>
        <w:t>DETERMINANTS</w:t>
      </w:r>
      <w:r>
        <w:rPr>
          <w:spacing w:val="-7"/>
        </w:rPr>
        <w:t xml:space="preserve"> </w:t>
      </w:r>
      <w:r>
        <w:t>OF TAX PLANNING IN INDONESIAN COAL MINING FIRMS</w:t>
      </w:r>
    </w:p>
    <w:p w14:paraId="0002E560" w14:textId="77777777" w:rsidR="00521B5E" w:rsidRPr="002F684B" w:rsidRDefault="001A17D5">
      <w:pPr>
        <w:pStyle w:val="BodyText"/>
        <w:spacing w:before="268"/>
        <w:ind w:left="29" w:right="18"/>
        <w:jc w:val="center"/>
        <w:rPr>
          <w:lang w:val="fi-FI"/>
        </w:rPr>
      </w:pPr>
      <w:r w:rsidRPr="002F684B">
        <w:rPr>
          <w:lang w:val="fi-FI"/>
        </w:rPr>
        <w:t>Sela</w:t>
      </w:r>
      <w:r w:rsidRPr="002F684B">
        <w:rPr>
          <w:spacing w:val="-5"/>
          <w:lang w:val="fi-FI"/>
        </w:rPr>
        <w:t xml:space="preserve"> </w:t>
      </w:r>
      <w:r w:rsidRPr="002F684B">
        <w:rPr>
          <w:lang w:val="fi-FI"/>
        </w:rPr>
        <w:t>Dea</w:t>
      </w:r>
      <w:r w:rsidRPr="002F684B">
        <w:rPr>
          <w:spacing w:val="-4"/>
          <w:lang w:val="fi-FI"/>
        </w:rPr>
        <w:t xml:space="preserve"> </w:t>
      </w:r>
      <w:r w:rsidRPr="002F684B">
        <w:rPr>
          <w:lang w:val="fi-FI"/>
        </w:rPr>
        <w:t>Putri</w:t>
      </w:r>
      <w:r w:rsidRPr="002F684B">
        <w:rPr>
          <w:vertAlign w:val="superscript"/>
          <w:lang w:val="fi-FI"/>
        </w:rPr>
        <w:t>1)</w:t>
      </w:r>
      <w:r w:rsidRPr="002F684B">
        <w:rPr>
          <w:lang w:val="fi-FI"/>
        </w:rPr>
        <w:t>,</w:t>
      </w:r>
      <w:r w:rsidRPr="002F684B">
        <w:rPr>
          <w:spacing w:val="-7"/>
          <w:lang w:val="fi-FI"/>
        </w:rPr>
        <w:t xml:space="preserve"> </w:t>
      </w:r>
      <w:r w:rsidRPr="002F684B">
        <w:rPr>
          <w:lang w:val="fi-FI"/>
        </w:rPr>
        <w:t>Rosalina</w:t>
      </w:r>
      <w:r w:rsidRPr="002F684B">
        <w:rPr>
          <w:spacing w:val="-9"/>
          <w:lang w:val="fi-FI"/>
        </w:rPr>
        <w:t xml:space="preserve"> </w:t>
      </w:r>
      <w:r w:rsidRPr="002F684B">
        <w:rPr>
          <w:lang w:val="fi-FI"/>
        </w:rPr>
        <w:t>Pebrica</w:t>
      </w:r>
      <w:r w:rsidRPr="002F684B">
        <w:rPr>
          <w:spacing w:val="-4"/>
          <w:lang w:val="fi-FI"/>
        </w:rPr>
        <w:t xml:space="preserve"> </w:t>
      </w:r>
      <w:r w:rsidRPr="002F684B">
        <w:rPr>
          <w:lang w:val="fi-FI"/>
        </w:rPr>
        <w:t>Mayasari</w:t>
      </w:r>
      <w:r w:rsidRPr="002F684B">
        <w:rPr>
          <w:vertAlign w:val="superscript"/>
          <w:lang w:val="fi-FI"/>
        </w:rPr>
        <w:t>)</w:t>
      </w:r>
      <w:r w:rsidRPr="002F684B">
        <w:rPr>
          <w:lang w:val="fi-FI"/>
        </w:rPr>
        <w:t>,</w:t>
      </w:r>
      <w:r w:rsidRPr="002F684B">
        <w:rPr>
          <w:spacing w:val="-8"/>
          <w:lang w:val="fi-FI"/>
        </w:rPr>
        <w:t xml:space="preserve"> </w:t>
      </w:r>
      <w:r w:rsidRPr="002F684B">
        <w:rPr>
          <w:lang w:val="fi-FI"/>
        </w:rPr>
        <w:t>Yuni</w:t>
      </w:r>
      <w:r w:rsidRPr="002F684B">
        <w:rPr>
          <w:spacing w:val="-8"/>
          <w:lang w:val="fi-FI"/>
        </w:rPr>
        <w:t xml:space="preserve"> </w:t>
      </w:r>
      <w:r w:rsidRPr="002F684B">
        <w:rPr>
          <w:spacing w:val="-2"/>
          <w:lang w:val="fi-FI"/>
        </w:rPr>
        <w:t>Rachmawati</w:t>
      </w:r>
      <w:r w:rsidRPr="002F684B">
        <w:rPr>
          <w:spacing w:val="-2"/>
          <w:vertAlign w:val="superscript"/>
          <w:lang w:val="fi-FI"/>
        </w:rPr>
        <w:t>3)</w:t>
      </w:r>
    </w:p>
    <w:p w14:paraId="0A264495" w14:textId="03743C73" w:rsidR="00521B5E" w:rsidRDefault="001A17D5">
      <w:pPr>
        <w:spacing w:before="229"/>
        <w:ind w:left="2507"/>
        <w:rPr>
          <w:sz w:val="16"/>
        </w:rPr>
      </w:pPr>
      <w:r>
        <w:rPr>
          <w:position w:val="5"/>
          <w:sz w:val="10"/>
        </w:rPr>
        <w:t>1)</w:t>
      </w:r>
      <w:r>
        <w:rPr>
          <w:spacing w:val="17"/>
          <w:position w:val="5"/>
          <w:sz w:val="10"/>
        </w:rPr>
        <w:t xml:space="preserve"> </w:t>
      </w:r>
      <w:r>
        <w:rPr>
          <w:sz w:val="16"/>
        </w:rPr>
        <w:t>Department</w:t>
      </w:r>
      <w:r>
        <w:rPr>
          <w:spacing w:val="-3"/>
          <w:sz w:val="16"/>
        </w:rPr>
        <w:t xml:space="preserve"> </w:t>
      </w:r>
      <w:r>
        <w:rPr>
          <w:sz w:val="16"/>
        </w:rPr>
        <w:t>of</w:t>
      </w:r>
      <w:r>
        <w:rPr>
          <w:spacing w:val="-7"/>
          <w:sz w:val="16"/>
        </w:rPr>
        <w:t xml:space="preserve"> </w:t>
      </w:r>
      <w:r>
        <w:rPr>
          <w:sz w:val="16"/>
        </w:rPr>
        <w:t>Accounting,</w:t>
      </w:r>
      <w:r>
        <w:rPr>
          <w:spacing w:val="-7"/>
          <w:sz w:val="16"/>
        </w:rPr>
        <w:t xml:space="preserve"> </w:t>
      </w:r>
      <w:r>
        <w:rPr>
          <w:sz w:val="16"/>
        </w:rPr>
        <w:t>Tridinanti</w:t>
      </w:r>
      <w:r>
        <w:rPr>
          <w:spacing w:val="-4"/>
          <w:sz w:val="16"/>
        </w:rPr>
        <w:t xml:space="preserve"> </w:t>
      </w:r>
      <w:r>
        <w:rPr>
          <w:sz w:val="16"/>
        </w:rPr>
        <w:t>University,</w:t>
      </w:r>
      <w:r>
        <w:rPr>
          <w:spacing w:val="-4"/>
          <w:sz w:val="16"/>
        </w:rPr>
        <w:t xml:space="preserve"> </w:t>
      </w:r>
      <w:r>
        <w:rPr>
          <w:spacing w:val="-2"/>
          <w:sz w:val="16"/>
        </w:rPr>
        <w:t>Indonesia</w:t>
      </w:r>
    </w:p>
    <w:p w14:paraId="7921BE27" w14:textId="1D3FB7A4" w:rsidR="00521B5E" w:rsidRDefault="001A17D5">
      <w:pPr>
        <w:spacing w:before="4" w:line="183" w:lineRule="exact"/>
        <w:ind w:left="2507"/>
        <w:rPr>
          <w:sz w:val="16"/>
        </w:rPr>
      </w:pPr>
      <w:r>
        <w:rPr>
          <w:position w:val="5"/>
          <w:sz w:val="10"/>
        </w:rPr>
        <w:t>2)</w:t>
      </w:r>
      <w:r>
        <w:rPr>
          <w:spacing w:val="17"/>
          <w:position w:val="5"/>
          <w:sz w:val="10"/>
        </w:rPr>
        <w:t xml:space="preserve"> </w:t>
      </w:r>
      <w:r>
        <w:rPr>
          <w:sz w:val="16"/>
        </w:rPr>
        <w:t>Department</w:t>
      </w:r>
      <w:r>
        <w:rPr>
          <w:spacing w:val="-3"/>
          <w:sz w:val="16"/>
        </w:rPr>
        <w:t xml:space="preserve"> </w:t>
      </w:r>
      <w:r>
        <w:rPr>
          <w:sz w:val="16"/>
        </w:rPr>
        <w:t>of</w:t>
      </w:r>
      <w:r>
        <w:rPr>
          <w:spacing w:val="-6"/>
          <w:sz w:val="16"/>
        </w:rPr>
        <w:t xml:space="preserve"> </w:t>
      </w:r>
      <w:r>
        <w:rPr>
          <w:sz w:val="16"/>
        </w:rPr>
        <w:t>Accounting,</w:t>
      </w:r>
      <w:r>
        <w:rPr>
          <w:spacing w:val="-7"/>
          <w:sz w:val="16"/>
        </w:rPr>
        <w:t xml:space="preserve"> </w:t>
      </w:r>
      <w:r>
        <w:rPr>
          <w:sz w:val="16"/>
        </w:rPr>
        <w:t>Tridinanti</w:t>
      </w:r>
      <w:r>
        <w:rPr>
          <w:spacing w:val="-3"/>
          <w:sz w:val="16"/>
        </w:rPr>
        <w:t xml:space="preserve"> </w:t>
      </w:r>
      <w:r>
        <w:rPr>
          <w:sz w:val="16"/>
        </w:rPr>
        <w:t>University,</w:t>
      </w:r>
      <w:r>
        <w:rPr>
          <w:spacing w:val="-4"/>
          <w:sz w:val="16"/>
        </w:rPr>
        <w:t xml:space="preserve"> </w:t>
      </w:r>
      <w:r>
        <w:rPr>
          <w:spacing w:val="-2"/>
          <w:sz w:val="16"/>
        </w:rPr>
        <w:t>Indonesia</w:t>
      </w:r>
    </w:p>
    <w:p w14:paraId="1E88C46B" w14:textId="3074CC87" w:rsidR="00521B5E" w:rsidRDefault="001A17D5">
      <w:pPr>
        <w:spacing w:line="482" w:lineRule="auto"/>
        <w:ind w:left="2546" w:right="1643" w:hanging="29"/>
        <w:rPr>
          <w:sz w:val="16"/>
        </w:rPr>
      </w:pPr>
      <w:r>
        <w:rPr>
          <w:position w:val="5"/>
          <w:sz w:val="10"/>
        </w:rPr>
        <w:t>3)</w:t>
      </w:r>
      <w:r>
        <w:rPr>
          <w:spacing w:val="-6"/>
          <w:position w:val="5"/>
          <w:sz w:val="10"/>
        </w:rPr>
        <w:t xml:space="preserve"> </w:t>
      </w:r>
      <w:r>
        <w:rPr>
          <w:sz w:val="16"/>
        </w:rPr>
        <w:t>Department</w:t>
      </w:r>
      <w:r>
        <w:rPr>
          <w:spacing w:val="-6"/>
          <w:sz w:val="16"/>
        </w:rPr>
        <w:t xml:space="preserve"> </w:t>
      </w:r>
      <w:r>
        <w:rPr>
          <w:sz w:val="16"/>
        </w:rPr>
        <w:t>of</w:t>
      </w:r>
      <w:r>
        <w:rPr>
          <w:spacing w:val="-9"/>
          <w:sz w:val="16"/>
        </w:rPr>
        <w:t xml:space="preserve"> </w:t>
      </w:r>
      <w:r>
        <w:rPr>
          <w:sz w:val="16"/>
        </w:rPr>
        <w:t>Accounting,</w:t>
      </w:r>
      <w:r>
        <w:rPr>
          <w:spacing w:val="-10"/>
          <w:sz w:val="16"/>
        </w:rPr>
        <w:t xml:space="preserve"> </w:t>
      </w:r>
      <w:r>
        <w:rPr>
          <w:sz w:val="16"/>
        </w:rPr>
        <w:t>Tridinanti</w:t>
      </w:r>
      <w:r>
        <w:rPr>
          <w:spacing w:val="-6"/>
          <w:sz w:val="16"/>
        </w:rPr>
        <w:t xml:space="preserve"> </w:t>
      </w:r>
      <w:r>
        <w:rPr>
          <w:sz w:val="16"/>
        </w:rPr>
        <w:t>University,</w:t>
      </w:r>
      <w:r>
        <w:rPr>
          <w:spacing w:val="-10"/>
          <w:sz w:val="16"/>
        </w:rPr>
        <w:t xml:space="preserve"> </w:t>
      </w:r>
      <w:r>
        <w:rPr>
          <w:sz w:val="16"/>
        </w:rPr>
        <w:t>Indonesia</w:t>
      </w:r>
      <w:r>
        <w:rPr>
          <w:spacing w:val="40"/>
          <w:sz w:val="16"/>
        </w:rPr>
        <w:t xml:space="preserve"> </w:t>
      </w:r>
      <w:r>
        <w:rPr>
          <w:sz w:val="16"/>
        </w:rPr>
        <w:t>Corresponding</w:t>
      </w:r>
      <w:r>
        <w:rPr>
          <w:spacing w:val="-10"/>
          <w:sz w:val="16"/>
        </w:rPr>
        <w:t xml:space="preserve"> </w:t>
      </w:r>
      <w:r>
        <w:rPr>
          <w:sz w:val="16"/>
        </w:rPr>
        <w:t>author:</w:t>
      </w:r>
      <w:r>
        <w:rPr>
          <w:spacing w:val="27"/>
          <w:sz w:val="16"/>
        </w:rPr>
        <w:t xml:space="preserve"> </w:t>
      </w:r>
      <w:hyperlink r:id="rId7">
        <w:r w:rsidR="00521B5E">
          <w:rPr>
            <w:color w:val="0000FF"/>
            <w:sz w:val="16"/>
            <w:u w:val="single" w:color="0000FF"/>
          </w:rPr>
          <w:t>yunirachmawati@univ-</w:t>
        </w:r>
        <w:r w:rsidR="00521B5E">
          <w:rPr>
            <w:color w:val="0000FF"/>
            <w:spacing w:val="-2"/>
            <w:sz w:val="16"/>
            <w:u w:val="single" w:color="0000FF"/>
          </w:rPr>
          <w:t>tridinanti.ac.id</w:t>
        </w:r>
      </w:hyperlink>
    </w:p>
    <w:p w14:paraId="6AD82657" w14:textId="0A582767" w:rsidR="00521B5E" w:rsidRDefault="00521B5E">
      <w:pPr>
        <w:pStyle w:val="BodyText"/>
      </w:pPr>
    </w:p>
    <w:p w14:paraId="0143CDEC" w14:textId="77777777" w:rsidR="00521B5E" w:rsidRDefault="001A17D5">
      <w:pPr>
        <w:pStyle w:val="Heading1"/>
        <w:spacing w:before="1" w:line="240" w:lineRule="auto"/>
        <w:ind w:left="8"/>
      </w:pPr>
      <w:r>
        <w:rPr>
          <w:spacing w:val="-2"/>
        </w:rPr>
        <w:t>Abstract</w:t>
      </w:r>
    </w:p>
    <w:p w14:paraId="213F8305" w14:textId="77777777" w:rsidR="00521B5E" w:rsidRDefault="00521B5E">
      <w:pPr>
        <w:pStyle w:val="BodyText"/>
        <w:spacing w:before="44"/>
        <w:rPr>
          <w:b/>
        </w:rPr>
      </w:pPr>
    </w:p>
    <w:p w14:paraId="1C9217B5" w14:textId="77777777" w:rsidR="00521B5E" w:rsidRDefault="001A17D5">
      <w:pPr>
        <w:ind w:left="140" w:right="131"/>
        <w:jc w:val="both"/>
        <w:rPr>
          <w:i/>
          <w:sz w:val="20"/>
        </w:rPr>
      </w:pPr>
      <w:r>
        <w:rPr>
          <w:i/>
          <w:sz w:val="20"/>
        </w:rPr>
        <w:t>This study examines the effect of ownership structure, dividend policy, and capital intensity ratio on tax planning in coal mining sub-sector companies listed on the Indonesia Stock Exchange (IDX) during the 2020–2024 period. The research sample consists of 23 companies, yielding 115 firm-year observations. The data were analysed using multiple linear regression with the assistance of SPSS version 25.0. The results show that ownership, dividends, and capital intensity simultaneously significantly affect tax planning, as indicated by an F-value of 6.251 and a significance level of</w:t>
      </w:r>
      <w:r>
        <w:rPr>
          <w:i/>
          <w:spacing w:val="-3"/>
          <w:sz w:val="20"/>
        </w:rPr>
        <w:t xml:space="preserve"> </w:t>
      </w:r>
      <w:r>
        <w:rPr>
          <w:i/>
          <w:sz w:val="20"/>
        </w:rPr>
        <w:t>0.001 (p &lt;</w:t>
      </w:r>
      <w:r>
        <w:rPr>
          <w:i/>
          <w:spacing w:val="-1"/>
          <w:sz w:val="20"/>
        </w:rPr>
        <w:t xml:space="preserve"> </w:t>
      </w:r>
      <w:r>
        <w:rPr>
          <w:i/>
          <w:sz w:val="20"/>
        </w:rPr>
        <w:t>0.05). Partially, ownership is</w:t>
      </w:r>
      <w:r>
        <w:rPr>
          <w:i/>
          <w:spacing w:val="-1"/>
          <w:sz w:val="20"/>
        </w:rPr>
        <w:t xml:space="preserve"> </w:t>
      </w:r>
      <w:r>
        <w:rPr>
          <w:i/>
          <w:sz w:val="20"/>
        </w:rPr>
        <w:t>proxied by institutional ownership, which significantly affects</w:t>
      </w:r>
      <w:r>
        <w:rPr>
          <w:i/>
          <w:spacing w:val="-1"/>
          <w:sz w:val="20"/>
        </w:rPr>
        <w:t xml:space="preserve"> </w:t>
      </w:r>
      <w:r>
        <w:rPr>
          <w:i/>
          <w:sz w:val="20"/>
        </w:rPr>
        <w:t>tax planning with a t-value of 3.974 and a significance level of 0.000. Dividends proxied by the dividend payout ratio also have a significant partial effect with a t- value of 2.039 and a significance level of 0.044. In contrast, the capital intensity ratio does not substantially affect tax planning, as indicated by the t-value of 0.794 and a significance level of 0.429 (p &gt; 0.05).</w:t>
      </w:r>
    </w:p>
    <w:p w14:paraId="2BA44546" w14:textId="77777777" w:rsidR="00521B5E" w:rsidRDefault="001A17D5">
      <w:pPr>
        <w:ind w:left="140"/>
        <w:rPr>
          <w:i/>
          <w:sz w:val="20"/>
        </w:rPr>
      </w:pPr>
      <w:r>
        <w:rPr>
          <w:i/>
          <w:spacing w:val="-10"/>
          <w:sz w:val="20"/>
        </w:rPr>
        <w:t>.</w:t>
      </w:r>
    </w:p>
    <w:p w14:paraId="58024756" w14:textId="77777777" w:rsidR="00521B5E" w:rsidRDefault="001A17D5">
      <w:pPr>
        <w:pStyle w:val="BodyText"/>
        <w:spacing w:before="1"/>
        <w:ind w:left="140"/>
      </w:pPr>
      <w:r>
        <w:rPr>
          <w:b/>
        </w:rPr>
        <w:t>Keywords</w:t>
      </w:r>
      <w:r>
        <w:t>:</w:t>
      </w:r>
      <w:r>
        <w:rPr>
          <w:spacing w:val="-7"/>
        </w:rPr>
        <w:t xml:space="preserve"> </w:t>
      </w:r>
      <w:r>
        <w:t>Ownership,</w:t>
      </w:r>
      <w:r>
        <w:rPr>
          <w:spacing w:val="-9"/>
        </w:rPr>
        <w:t xml:space="preserve"> </w:t>
      </w:r>
      <w:r>
        <w:t>Dividends,</w:t>
      </w:r>
      <w:r>
        <w:rPr>
          <w:spacing w:val="-9"/>
        </w:rPr>
        <w:t xml:space="preserve"> </w:t>
      </w:r>
      <w:r>
        <w:t>Capital</w:t>
      </w:r>
      <w:r>
        <w:rPr>
          <w:spacing w:val="-11"/>
        </w:rPr>
        <w:t xml:space="preserve"> </w:t>
      </w:r>
      <w:r>
        <w:t>Intensity,</w:t>
      </w:r>
      <w:r>
        <w:rPr>
          <w:spacing w:val="-6"/>
        </w:rPr>
        <w:t xml:space="preserve"> </w:t>
      </w:r>
      <w:r>
        <w:t>Tax</w:t>
      </w:r>
      <w:r>
        <w:rPr>
          <w:spacing w:val="-8"/>
        </w:rPr>
        <w:t xml:space="preserve"> </w:t>
      </w:r>
      <w:r>
        <w:rPr>
          <w:spacing w:val="-2"/>
        </w:rPr>
        <w:t>Planning.</w:t>
      </w:r>
    </w:p>
    <w:p w14:paraId="6A779993" w14:textId="77777777" w:rsidR="00521B5E" w:rsidRDefault="00521B5E">
      <w:pPr>
        <w:pStyle w:val="BodyText"/>
      </w:pPr>
    </w:p>
    <w:p w14:paraId="094B9125" w14:textId="77777777" w:rsidR="00521B5E" w:rsidRDefault="00521B5E">
      <w:pPr>
        <w:pStyle w:val="BodyText"/>
        <w:spacing w:before="1"/>
      </w:pPr>
    </w:p>
    <w:p w14:paraId="330BEBC5" w14:textId="77777777" w:rsidR="00521B5E" w:rsidRDefault="001A17D5">
      <w:pPr>
        <w:pStyle w:val="Heading1"/>
        <w:jc w:val="left"/>
      </w:pPr>
      <w:r>
        <w:rPr>
          <w:spacing w:val="-2"/>
        </w:rPr>
        <w:t>Introduction</w:t>
      </w:r>
    </w:p>
    <w:p w14:paraId="6B60A84D" w14:textId="77777777" w:rsidR="00521B5E" w:rsidRDefault="001A17D5">
      <w:pPr>
        <w:pStyle w:val="BodyText"/>
        <w:ind w:left="140" w:right="135" w:firstLine="283"/>
        <w:jc w:val="both"/>
      </w:pPr>
      <w:r>
        <w:t>Tax revenue is the primary source of financing for development and public services in Indonesia. As the country with the largest economy in Southeast Asia, Indonesia highly depends on income tax, value-added tax, regional taxes, and others. However, tax revenue still faces challenges, including low levels of taxpayer compliance and a large informal sector. This causes a gap between tax potential and its realisation.</w:t>
      </w:r>
    </w:p>
    <w:p w14:paraId="7625739A" w14:textId="77777777" w:rsidR="00521B5E" w:rsidRDefault="001A17D5">
      <w:pPr>
        <w:pStyle w:val="BodyText"/>
        <w:ind w:left="140" w:right="131" w:firstLine="283"/>
        <w:jc w:val="both"/>
      </w:pPr>
      <w:r>
        <w:t>Tax planning is an essential strategy in managing tax obligations legally and efficiently. Romdania et al. (2022) Tax planning is an accounting and financial strategy that minimizes the tax burden without violating the</w:t>
      </w:r>
      <w:r>
        <w:rPr>
          <w:spacing w:val="-2"/>
        </w:rPr>
        <w:t xml:space="preserve"> </w:t>
      </w:r>
      <w:r>
        <w:t>rules. Fuadi et al. (2024)</w:t>
      </w:r>
      <w:r>
        <w:rPr>
          <w:spacing w:val="-4"/>
        </w:rPr>
        <w:t xml:space="preserve"> </w:t>
      </w:r>
      <w:r>
        <w:t>added that</w:t>
      </w:r>
      <w:r>
        <w:rPr>
          <w:spacing w:val="-2"/>
        </w:rPr>
        <w:t xml:space="preserve"> </w:t>
      </w:r>
      <w:r>
        <w:t>tax planning covers all</w:t>
      </w:r>
      <w:r>
        <w:rPr>
          <w:spacing w:val="-2"/>
        </w:rPr>
        <w:t xml:space="preserve"> </w:t>
      </w:r>
      <w:r>
        <w:t>tax</w:t>
      </w:r>
      <w:r>
        <w:rPr>
          <w:spacing w:val="-4"/>
        </w:rPr>
        <w:t xml:space="preserve"> </w:t>
      </w:r>
      <w:r>
        <w:t>management functions, from planning and reporting</w:t>
      </w:r>
      <w:r>
        <w:rPr>
          <w:spacing w:val="-4"/>
        </w:rPr>
        <w:t xml:space="preserve"> </w:t>
      </w:r>
      <w:r>
        <w:t>to</w:t>
      </w:r>
      <w:r>
        <w:rPr>
          <w:spacing w:val="-6"/>
        </w:rPr>
        <w:t xml:space="preserve"> </w:t>
      </w:r>
      <w:r>
        <w:t>supervision. With effective</w:t>
      </w:r>
      <w:r>
        <w:rPr>
          <w:spacing w:val="-4"/>
        </w:rPr>
        <w:t xml:space="preserve"> </w:t>
      </w:r>
      <w:r>
        <w:t>tax</w:t>
      </w:r>
      <w:r>
        <w:rPr>
          <w:spacing w:val="-2"/>
        </w:rPr>
        <w:t xml:space="preserve"> </w:t>
      </w:r>
      <w:r>
        <w:t>planning, companies</w:t>
      </w:r>
      <w:r>
        <w:rPr>
          <w:spacing w:val="-2"/>
        </w:rPr>
        <w:t xml:space="preserve"> </w:t>
      </w:r>
      <w:r>
        <w:t>can</w:t>
      </w:r>
      <w:r>
        <w:rPr>
          <w:spacing w:val="-2"/>
        </w:rPr>
        <w:t xml:space="preserve"> </w:t>
      </w:r>
      <w:r>
        <w:t>manage</w:t>
      </w:r>
      <w:r>
        <w:rPr>
          <w:spacing w:val="-9"/>
        </w:rPr>
        <w:t xml:space="preserve"> </w:t>
      </w:r>
      <w:r>
        <w:t>their finances</w:t>
      </w:r>
      <w:r>
        <w:rPr>
          <w:spacing w:val="-2"/>
        </w:rPr>
        <w:t xml:space="preserve"> </w:t>
      </w:r>
      <w:r>
        <w:t>better</w:t>
      </w:r>
      <w:r>
        <w:rPr>
          <w:spacing w:val="-2"/>
        </w:rPr>
        <w:t xml:space="preserve"> </w:t>
      </w:r>
      <w:r>
        <w:t>and</w:t>
      </w:r>
      <w:r>
        <w:rPr>
          <w:spacing w:val="-2"/>
        </w:rPr>
        <w:t xml:space="preserve"> </w:t>
      </w:r>
      <w:r>
        <w:t>support national economic goals.</w:t>
      </w:r>
    </w:p>
    <w:p w14:paraId="15D0CEDD" w14:textId="77777777" w:rsidR="00521B5E" w:rsidRDefault="001A17D5">
      <w:pPr>
        <w:pStyle w:val="BodyText"/>
        <w:ind w:left="140" w:right="133" w:firstLine="283"/>
        <w:jc w:val="both"/>
      </w:pPr>
      <w:r>
        <w:t>One</w:t>
      </w:r>
      <w:r>
        <w:rPr>
          <w:spacing w:val="-2"/>
        </w:rPr>
        <w:t xml:space="preserve"> </w:t>
      </w:r>
      <w:r>
        <w:t>of</w:t>
      </w:r>
      <w:r>
        <w:rPr>
          <w:spacing w:val="-4"/>
        </w:rPr>
        <w:t xml:space="preserve"> </w:t>
      </w:r>
      <w:r>
        <w:t>the</w:t>
      </w:r>
      <w:r>
        <w:rPr>
          <w:spacing w:val="-2"/>
        </w:rPr>
        <w:t xml:space="preserve"> </w:t>
      </w:r>
      <w:r>
        <w:t>factors that</w:t>
      </w:r>
      <w:r>
        <w:rPr>
          <w:spacing w:val="-2"/>
        </w:rPr>
        <w:t xml:space="preserve"> </w:t>
      </w:r>
      <w:r>
        <w:t>influences tax</w:t>
      </w:r>
      <w:r>
        <w:rPr>
          <w:spacing w:val="-4"/>
        </w:rPr>
        <w:t xml:space="preserve"> </w:t>
      </w:r>
      <w:r>
        <w:t>planning</w:t>
      </w:r>
      <w:r>
        <w:rPr>
          <w:spacing w:val="-4"/>
        </w:rPr>
        <w:t xml:space="preserve"> </w:t>
      </w:r>
      <w:r>
        <w:t>is</w:t>
      </w:r>
      <w:r>
        <w:rPr>
          <w:spacing w:val="-5"/>
        </w:rPr>
        <w:t xml:space="preserve"> </w:t>
      </w:r>
      <w:r>
        <w:t>the</w:t>
      </w:r>
      <w:r>
        <w:rPr>
          <w:spacing w:val="-2"/>
        </w:rPr>
        <w:t xml:space="preserve"> </w:t>
      </w:r>
      <w:r>
        <w:t>ownership.</w:t>
      </w:r>
      <w:r>
        <w:rPr>
          <w:spacing w:val="-1"/>
        </w:rPr>
        <w:t xml:space="preserve"> </w:t>
      </w:r>
      <w:r>
        <w:t>According</w:t>
      </w:r>
      <w:r>
        <w:rPr>
          <w:spacing w:val="-4"/>
        </w:rPr>
        <w:t xml:space="preserve"> </w:t>
      </w:r>
      <w:r>
        <w:t>to</w:t>
      </w:r>
      <w:r>
        <w:rPr>
          <w:spacing w:val="-4"/>
        </w:rPr>
        <w:t xml:space="preserve"> </w:t>
      </w:r>
      <w:r>
        <w:t>Teguh &amp;</w:t>
      </w:r>
      <w:r>
        <w:rPr>
          <w:spacing w:val="-2"/>
        </w:rPr>
        <w:t xml:space="preserve"> </w:t>
      </w:r>
      <w:r>
        <w:t>Nyale (2024)</w:t>
      </w:r>
      <w:r>
        <w:rPr>
          <w:spacing w:val="-4"/>
        </w:rPr>
        <w:t xml:space="preserve"> </w:t>
      </w:r>
      <w:r>
        <w:t>This structure reflects the company's share ownership distribution, which can be institutional or managerial ownership. Institutional ownership is owned by financial institutions such as banks and insurance, while managerial ownership refers to shares owned by company managers. Several studies, such as Arianandini &amp; Ramantha (2018), and Fuadi et al. (2024) show that managerial ownership can affect tax planning, while different results were found by Teguh &amp; Nyale (2024), who stated that only managerial ownership has an effect, not institutional.</w:t>
      </w:r>
    </w:p>
    <w:p w14:paraId="069CA7C4" w14:textId="77777777" w:rsidR="00521B5E" w:rsidRDefault="001A17D5">
      <w:pPr>
        <w:pStyle w:val="BodyText"/>
        <w:spacing w:before="1"/>
        <w:ind w:left="140" w:right="136" w:firstLine="283"/>
        <w:jc w:val="both"/>
      </w:pPr>
      <w:r>
        <w:t>Another factor is dividends, namely the decision to distribute profits to shareholders. According to</w:t>
      </w:r>
      <w:r>
        <w:rPr>
          <w:spacing w:val="80"/>
        </w:rPr>
        <w:t xml:space="preserve"> </w:t>
      </w:r>
      <w:r>
        <w:t>Solikin &amp; Slamet (2022) dividends affect investment decisions and corporate tax strategies. High dividend payments reduce the chances of companies engaging in aggressive tax planning. Research by Rezkyanuarita et al. and Isnaini &amp; Arianti (2022) shows that dividends affect tax aggressiveness, but differs from the findings of Harahap et al. (2023) which states the opposite.</w:t>
      </w:r>
    </w:p>
    <w:p w14:paraId="42DCB583" w14:textId="77777777" w:rsidR="00521B5E" w:rsidRDefault="001A17D5">
      <w:pPr>
        <w:pStyle w:val="BodyText"/>
        <w:ind w:left="140" w:right="133" w:firstLine="283"/>
        <w:jc w:val="both"/>
      </w:pPr>
      <w:r>
        <w:t>Capital intensity also affects tax planning. The higher the company's investment in fixed assets, the</w:t>
      </w:r>
      <w:r>
        <w:rPr>
          <w:spacing w:val="40"/>
        </w:rPr>
        <w:t xml:space="preserve"> </w:t>
      </w:r>
      <w:r>
        <w:t>greater the depreciation burden, reducing taxable profit. Romdania et al. (2022) stated that capital intensity can reduce the effective tax rate. However, Dewi &amp; Oktaviani (2021) showed an adverse effect of capital intensity on tax avoidance.</w:t>
      </w:r>
    </w:p>
    <w:p w14:paraId="282C3BFB" w14:textId="77777777" w:rsidR="00521B5E" w:rsidRDefault="001A17D5">
      <w:pPr>
        <w:pStyle w:val="BodyText"/>
        <w:ind w:left="140" w:right="140" w:firstLine="283"/>
        <w:jc w:val="both"/>
      </w:pPr>
      <w:r>
        <w:t>This study focuses on coal mining sub-sector companies listed on the Indonesia Stock Exchange (IDX). This sub-sector is important for the Indonesian economy due to its large natural resource wealth. However, this industry is vulnerable to commodity price fluctuations, government policies, and environmental issues. Wijaya &amp; Susilowati (2024) emphasize the importance of assessing company value to understand management strategies in managing risk and creating value.</w:t>
      </w:r>
    </w:p>
    <w:p w14:paraId="671EBD69" w14:textId="77777777" w:rsidR="00521B5E" w:rsidRDefault="00521B5E">
      <w:pPr>
        <w:pStyle w:val="BodyText"/>
        <w:jc w:val="both"/>
      </w:pPr>
    </w:p>
    <w:p w14:paraId="2F98B9E6" w14:textId="77777777" w:rsidR="00521B5E" w:rsidRDefault="00521B5E">
      <w:pPr>
        <w:pStyle w:val="BodyText"/>
      </w:pPr>
    </w:p>
    <w:p w14:paraId="11207889" w14:textId="77777777" w:rsidR="00521B5E" w:rsidRDefault="00521B5E">
      <w:pPr>
        <w:pStyle w:val="BodyText"/>
        <w:spacing w:before="104"/>
      </w:pPr>
    </w:p>
    <w:p w14:paraId="25BCDA4A" w14:textId="77777777" w:rsidR="00521B5E" w:rsidRDefault="001A17D5">
      <w:pPr>
        <w:pStyle w:val="BodyText"/>
        <w:ind w:left="2103"/>
      </w:pPr>
      <w:r>
        <w:rPr>
          <w:noProof/>
        </w:rPr>
        <w:lastRenderedPageBreak/>
        <w:drawing>
          <wp:inline distT="0" distB="0" distL="0" distR="0" wp14:anchorId="748F00E6" wp14:editId="2D225AE9">
            <wp:extent cx="3268791" cy="19507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268791" cy="1950720"/>
                    </a:xfrm>
                    <a:prstGeom prst="rect">
                      <a:avLst/>
                    </a:prstGeom>
                  </pic:spPr>
                </pic:pic>
              </a:graphicData>
            </a:graphic>
          </wp:inline>
        </w:drawing>
      </w:r>
    </w:p>
    <w:p w14:paraId="590F1D67" w14:textId="77777777" w:rsidR="00521B5E" w:rsidRDefault="00521B5E">
      <w:pPr>
        <w:pStyle w:val="BodyText"/>
        <w:spacing w:before="51"/>
      </w:pPr>
    </w:p>
    <w:p w14:paraId="33E7CE10" w14:textId="77777777" w:rsidR="00521B5E" w:rsidRDefault="001A17D5">
      <w:pPr>
        <w:pStyle w:val="Heading1"/>
        <w:ind w:left="304" w:right="18"/>
      </w:pPr>
      <w:r>
        <w:t>Figure</w:t>
      </w:r>
      <w:r>
        <w:rPr>
          <w:spacing w:val="-5"/>
        </w:rPr>
        <w:t xml:space="preserve"> </w:t>
      </w:r>
      <w:r>
        <w:rPr>
          <w:spacing w:val="-10"/>
        </w:rPr>
        <w:t>1</w:t>
      </w:r>
    </w:p>
    <w:p w14:paraId="5ED906E4" w14:textId="77777777" w:rsidR="00521B5E" w:rsidRDefault="001A17D5">
      <w:pPr>
        <w:spacing w:line="228" w:lineRule="exact"/>
        <w:ind w:left="19" w:right="18"/>
        <w:jc w:val="center"/>
        <w:rPr>
          <w:b/>
          <w:sz w:val="20"/>
        </w:rPr>
      </w:pPr>
      <w:r>
        <w:rPr>
          <w:b/>
          <w:sz w:val="20"/>
        </w:rPr>
        <w:t>Effective</w:t>
      </w:r>
      <w:r>
        <w:rPr>
          <w:b/>
          <w:spacing w:val="-5"/>
          <w:sz w:val="20"/>
        </w:rPr>
        <w:t xml:space="preserve"> </w:t>
      </w:r>
      <w:r>
        <w:rPr>
          <w:b/>
          <w:sz w:val="20"/>
        </w:rPr>
        <w:t>Tax</w:t>
      </w:r>
      <w:r>
        <w:rPr>
          <w:b/>
          <w:spacing w:val="-7"/>
          <w:sz w:val="20"/>
        </w:rPr>
        <w:t xml:space="preserve"> </w:t>
      </w:r>
      <w:r>
        <w:rPr>
          <w:b/>
          <w:sz w:val="20"/>
        </w:rPr>
        <w:t>Rate</w:t>
      </w:r>
      <w:r>
        <w:rPr>
          <w:b/>
          <w:spacing w:val="-4"/>
          <w:sz w:val="20"/>
        </w:rPr>
        <w:t xml:space="preserve"> </w:t>
      </w:r>
      <w:r>
        <w:rPr>
          <w:b/>
          <w:sz w:val="20"/>
        </w:rPr>
        <w:t>of</w:t>
      </w:r>
      <w:r>
        <w:rPr>
          <w:b/>
          <w:spacing w:val="-2"/>
          <w:sz w:val="20"/>
        </w:rPr>
        <w:t xml:space="preserve"> </w:t>
      </w:r>
      <w:r>
        <w:rPr>
          <w:b/>
          <w:sz w:val="20"/>
        </w:rPr>
        <w:t>Coal</w:t>
      </w:r>
      <w:r>
        <w:rPr>
          <w:b/>
          <w:spacing w:val="-5"/>
          <w:sz w:val="20"/>
        </w:rPr>
        <w:t xml:space="preserve"> </w:t>
      </w:r>
      <w:r>
        <w:rPr>
          <w:b/>
          <w:sz w:val="20"/>
        </w:rPr>
        <w:t>Mining</w:t>
      </w:r>
      <w:r>
        <w:rPr>
          <w:b/>
          <w:spacing w:val="-6"/>
          <w:sz w:val="20"/>
        </w:rPr>
        <w:t xml:space="preserve"> </w:t>
      </w:r>
      <w:r>
        <w:rPr>
          <w:b/>
          <w:spacing w:val="-2"/>
          <w:sz w:val="20"/>
        </w:rPr>
        <w:t>Companies</w:t>
      </w:r>
    </w:p>
    <w:p w14:paraId="46EA32D1" w14:textId="77777777" w:rsidR="00521B5E" w:rsidRDefault="00521B5E">
      <w:pPr>
        <w:pStyle w:val="BodyText"/>
        <w:spacing w:before="44"/>
        <w:rPr>
          <w:b/>
        </w:rPr>
      </w:pPr>
    </w:p>
    <w:p w14:paraId="21AC5B89" w14:textId="77777777" w:rsidR="00521B5E" w:rsidRDefault="001A17D5">
      <w:pPr>
        <w:pStyle w:val="BodyText"/>
        <w:ind w:left="140" w:right="135" w:firstLine="283"/>
        <w:jc w:val="both"/>
      </w:pPr>
      <w:r>
        <w:t>The data shows that the three sub-sector companies experienced fluctuations in the Effective Tax Rate (ETR) during 2020–2024. PT. Aneka Tambang Tbk and PT. Adaro Energy Indonesia Tbk showed a fluctuating ETR pattern due to changes in commodity</w:t>
      </w:r>
      <w:r>
        <w:rPr>
          <w:spacing w:val="-4"/>
        </w:rPr>
        <w:t xml:space="preserve"> </w:t>
      </w:r>
      <w:r>
        <w:t>prices, while PT. Timah Tbk recorded a</w:t>
      </w:r>
      <w:r>
        <w:rPr>
          <w:spacing w:val="-2"/>
        </w:rPr>
        <w:t xml:space="preserve"> </w:t>
      </w:r>
      <w:r>
        <w:t>negative ETR in several years</w:t>
      </w:r>
      <w:r>
        <w:rPr>
          <w:spacing w:val="-1"/>
        </w:rPr>
        <w:t xml:space="preserve"> </w:t>
      </w:r>
      <w:r>
        <w:t>due to</w:t>
      </w:r>
      <w:r>
        <w:rPr>
          <w:spacing w:val="-5"/>
        </w:rPr>
        <w:t xml:space="preserve"> </w:t>
      </w:r>
      <w:r>
        <w:t>low</w:t>
      </w:r>
      <w:r>
        <w:rPr>
          <w:spacing w:val="-1"/>
        </w:rPr>
        <w:t xml:space="preserve"> </w:t>
      </w:r>
      <w:r>
        <w:t>tin prices, which impacted the company's profits. These fluctuations</w:t>
      </w:r>
      <w:r>
        <w:rPr>
          <w:spacing w:val="-6"/>
        </w:rPr>
        <w:t xml:space="preserve"> </w:t>
      </w:r>
      <w:r>
        <w:t>highlight the importance of examining the factors that influence tax planning practices within mining companies, making</w:t>
      </w:r>
      <w:r>
        <w:rPr>
          <w:spacing w:val="80"/>
        </w:rPr>
        <w:t xml:space="preserve"> </w:t>
      </w:r>
      <w:r>
        <w:t>it a relevant and compelling topic for further research.</w:t>
      </w:r>
    </w:p>
    <w:p w14:paraId="6C4067EA" w14:textId="77777777" w:rsidR="00521B5E" w:rsidRDefault="00521B5E">
      <w:pPr>
        <w:pStyle w:val="BodyText"/>
        <w:spacing w:before="56"/>
      </w:pPr>
    </w:p>
    <w:p w14:paraId="7DDF7158" w14:textId="77777777" w:rsidR="00521B5E" w:rsidRDefault="001A17D5">
      <w:pPr>
        <w:pStyle w:val="Heading1"/>
        <w:jc w:val="left"/>
      </w:pPr>
      <w:r>
        <w:rPr>
          <w:spacing w:val="-2"/>
        </w:rPr>
        <w:t>Method</w:t>
      </w:r>
    </w:p>
    <w:p w14:paraId="000C2832" w14:textId="77777777" w:rsidR="00521B5E" w:rsidRDefault="001A17D5">
      <w:pPr>
        <w:pStyle w:val="BodyText"/>
        <w:ind w:left="140" w:right="135" w:firstLine="283"/>
        <w:jc w:val="both"/>
      </w:pPr>
      <w:r>
        <w:t>This study uses a quantitative approach to measure and analyze the relationship between variables that influence tax planning in coal companies objectively and measurably. This approach allows researchers to collect large amounts of data through observations of financial report data from 23 companies during 2020- 2024, which can then be analyzed statistically. Using this method, researchers can test hypotheses, identify patterns or tendencies in tax planning behaviour, and draw conclusions that can be generalized to a broader population.</w:t>
      </w:r>
      <w:r>
        <w:rPr>
          <w:spacing w:val="-2"/>
        </w:rPr>
        <w:t xml:space="preserve"> </w:t>
      </w:r>
      <w:r>
        <w:t>Data</w:t>
      </w:r>
      <w:r>
        <w:rPr>
          <w:spacing w:val="-3"/>
        </w:rPr>
        <w:t xml:space="preserve"> </w:t>
      </w:r>
      <w:r>
        <w:t>quantification also</w:t>
      </w:r>
      <w:r>
        <w:rPr>
          <w:spacing w:val="-4"/>
        </w:rPr>
        <w:t xml:space="preserve"> </w:t>
      </w:r>
      <w:r>
        <w:t>helps</w:t>
      </w:r>
      <w:r>
        <w:rPr>
          <w:spacing w:val="-1"/>
        </w:rPr>
        <w:t xml:space="preserve"> </w:t>
      </w:r>
      <w:r>
        <w:t>measure</w:t>
      </w:r>
      <w:r>
        <w:rPr>
          <w:spacing w:val="-6"/>
        </w:rPr>
        <w:t xml:space="preserve"> </w:t>
      </w:r>
      <w:r>
        <w:t>how</w:t>
      </w:r>
      <w:r>
        <w:rPr>
          <w:spacing w:val="-5"/>
        </w:rPr>
        <w:t xml:space="preserve"> </w:t>
      </w:r>
      <w:r>
        <w:t>much influence</w:t>
      </w:r>
      <w:r>
        <w:rPr>
          <w:spacing w:val="-3"/>
        </w:rPr>
        <w:t xml:space="preserve"> </w:t>
      </w:r>
      <w:r>
        <w:t>factors</w:t>
      </w:r>
      <w:r>
        <w:rPr>
          <w:spacing w:val="-1"/>
        </w:rPr>
        <w:t xml:space="preserve"> </w:t>
      </w:r>
      <w:r>
        <w:t>such as</w:t>
      </w:r>
      <w:r>
        <w:rPr>
          <w:spacing w:val="-1"/>
        </w:rPr>
        <w:t xml:space="preserve"> </w:t>
      </w:r>
      <w:r>
        <w:t>ownership, dividends, and capital intensity have on positive, neutral, or negative sentiment expressed in financial reports. This approach is relevant because it provides more accurate, systematic, and scientifically accountable results.</w:t>
      </w:r>
    </w:p>
    <w:p w14:paraId="6D6EB6F1" w14:textId="77777777" w:rsidR="00521B5E" w:rsidRDefault="00521B5E">
      <w:pPr>
        <w:pStyle w:val="BodyText"/>
        <w:spacing w:before="55"/>
      </w:pPr>
    </w:p>
    <w:p w14:paraId="4B6D1EE8" w14:textId="77777777" w:rsidR="00521B5E" w:rsidRDefault="001A17D5">
      <w:pPr>
        <w:pStyle w:val="Heading1"/>
        <w:jc w:val="both"/>
      </w:pPr>
      <w:r>
        <w:t>Result</w:t>
      </w:r>
      <w:r>
        <w:rPr>
          <w:spacing w:val="-4"/>
        </w:rPr>
        <w:t xml:space="preserve"> </w:t>
      </w:r>
      <w:r>
        <w:t>and</w:t>
      </w:r>
      <w:r>
        <w:rPr>
          <w:spacing w:val="-4"/>
        </w:rPr>
        <w:t xml:space="preserve"> </w:t>
      </w:r>
      <w:r>
        <w:rPr>
          <w:spacing w:val="-2"/>
        </w:rPr>
        <w:t>Discussion</w:t>
      </w:r>
    </w:p>
    <w:p w14:paraId="34478C5D" w14:textId="77777777" w:rsidR="00521B5E" w:rsidRDefault="001A17D5">
      <w:pPr>
        <w:pStyle w:val="BodyText"/>
        <w:ind w:left="140" w:right="131" w:firstLine="283"/>
        <w:jc w:val="both"/>
      </w:pPr>
      <w:r>
        <w:t>Based on the</w:t>
      </w:r>
      <w:r>
        <w:rPr>
          <w:spacing w:val="-3"/>
        </w:rPr>
        <w:t xml:space="preserve"> </w:t>
      </w:r>
      <w:r>
        <w:t>results</w:t>
      </w:r>
      <w:r>
        <w:rPr>
          <w:spacing w:val="-1"/>
        </w:rPr>
        <w:t xml:space="preserve"> </w:t>
      </w:r>
      <w:r>
        <w:t>of the anova test explained previously, it can be concluded that the</w:t>
      </w:r>
      <w:r>
        <w:rPr>
          <w:spacing w:val="-3"/>
        </w:rPr>
        <w:t xml:space="preserve"> </w:t>
      </w:r>
      <w:r>
        <w:t>regression model used in this study has statistical significance. This is indicated by the calculated F value of 6.251 with a significance level of 0.001, which is smaller than the significance limit of 0.05. In other words, there is a significant simultaneous influence of all independent variables studied on the dependent variable, namely</w:t>
      </w:r>
      <w:r>
        <w:rPr>
          <w:spacing w:val="80"/>
        </w:rPr>
        <w:t xml:space="preserve"> </w:t>
      </w:r>
      <w:r>
        <w:t>Tax Planning, which is measured by</w:t>
      </w:r>
      <w:r>
        <w:rPr>
          <w:spacing w:val="-3"/>
        </w:rPr>
        <w:t xml:space="preserve"> </w:t>
      </w:r>
      <w:r>
        <w:t>the Effective Tax Rate</w:t>
      </w:r>
      <w:r>
        <w:rPr>
          <w:spacing w:val="-1"/>
        </w:rPr>
        <w:t xml:space="preserve"> </w:t>
      </w:r>
      <w:r>
        <w:t>(ETR). These</w:t>
      </w:r>
      <w:r>
        <w:rPr>
          <w:spacing w:val="-1"/>
        </w:rPr>
        <w:t xml:space="preserve"> </w:t>
      </w:r>
      <w:r>
        <w:t>results indicate</w:t>
      </w:r>
      <w:r>
        <w:rPr>
          <w:spacing w:val="-1"/>
        </w:rPr>
        <w:t xml:space="preserve"> </w:t>
      </w:r>
      <w:r>
        <w:t>that combining the three independent variables, namely Ownership Structure, Dividend Policy, and Capital Intensity Ratio, can explain the company's effective tax rate variations. Thus, this model can be considered valid for explaining and predicting factors that influence tax planning practices in companies.</w:t>
      </w:r>
    </w:p>
    <w:p w14:paraId="37E09CB5" w14:textId="77777777" w:rsidR="00521B5E" w:rsidRDefault="00521B5E">
      <w:pPr>
        <w:pStyle w:val="BodyText"/>
        <w:spacing w:before="2"/>
      </w:pPr>
    </w:p>
    <w:p w14:paraId="3EE8AC30" w14:textId="77777777" w:rsidR="00521B5E" w:rsidRDefault="001A17D5">
      <w:pPr>
        <w:pStyle w:val="Heading1"/>
        <w:spacing w:line="240" w:lineRule="auto"/>
        <w:ind w:left="20" w:right="18"/>
      </w:pPr>
      <w:r>
        <w:t>Table</w:t>
      </w:r>
      <w:r>
        <w:rPr>
          <w:spacing w:val="-8"/>
        </w:rPr>
        <w:t xml:space="preserve"> </w:t>
      </w:r>
      <w:r>
        <w:t>1</w:t>
      </w:r>
      <w:r>
        <w:rPr>
          <w:spacing w:val="-3"/>
        </w:rPr>
        <w:t xml:space="preserve"> </w:t>
      </w:r>
      <w:r>
        <w:t>Anova</w:t>
      </w:r>
      <w:r>
        <w:rPr>
          <w:spacing w:val="-3"/>
        </w:rPr>
        <w:t xml:space="preserve"> </w:t>
      </w:r>
      <w:r>
        <w:rPr>
          <w:spacing w:val="-4"/>
        </w:rPr>
        <w:t>Test</w:t>
      </w: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
        <w:gridCol w:w="1474"/>
        <w:gridCol w:w="2012"/>
        <w:gridCol w:w="609"/>
        <w:gridCol w:w="1714"/>
        <w:gridCol w:w="820"/>
        <w:gridCol w:w="777"/>
      </w:tblGrid>
      <w:tr w:rsidR="00521B5E" w14:paraId="695C2F98" w14:textId="77777777">
        <w:trPr>
          <w:trHeight w:val="278"/>
        </w:trPr>
        <w:tc>
          <w:tcPr>
            <w:tcW w:w="7732" w:type="dxa"/>
            <w:gridSpan w:val="7"/>
          </w:tcPr>
          <w:p w14:paraId="7F227E82" w14:textId="77777777" w:rsidR="00521B5E" w:rsidRDefault="001A17D5">
            <w:pPr>
              <w:pStyle w:val="TableParagraph"/>
              <w:spacing w:line="258" w:lineRule="exact"/>
              <w:ind w:left="9"/>
              <w:jc w:val="center"/>
              <w:rPr>
                <w:rFonts w:ascii="Arial"/>
                <w:b/>
                <w:sz w:val="24"/>
              </w:rPr>
            </w:pPr>
            <w:r>
              <w:rPr>
                <w:rFonts w:ascii="Arial"/>
                <w:b/>
                <w:spacing w:val="-2"/>
                <w:sz w:val="24"/>
              </w:rPr>
              <w:t>ANOVA</w:t>
            </w:r>
            <w:r>
              <w:rPr>
                <w:rFonts w:ascii="Arial"/>
                <w:b/>
                <w:spacing w:val="-2"/>
                <w:sz w:val="24"/>
                <w:vertAlign w:val="superscript"/>
              </w:rPr>
              <w:t>a</w:t>
            </w:r>
          </w:p>
        </w:tc>
      </w:tr>
      <w:tr w:rsidR="00521B5E" w14:paraId="5AC14DAA" w14:textId="77777777">
        <w:trPr>
          <w:trHeight w:val="205"/>
        </w:trPr>
        <w:tc>
          <w:tcPr>
            <w:tcW w:w="1800" w:type="dxa"/>
            <w:gridSpan w:val="2"/>
          </w:tcPr>
          <w:p w14:paraId="109AC97E" w14:textId="77777777" w:rsidR="00521B5E" w:rsidRDefault="001A17D5">
            <w:pPr>
              <w:pStyle w:val="TableParagraph"/>
              <w:ind w:left="67"/>
              <w:rPr>
                <w:sz w:val="18"/>
              </w:rPr>
            </w:pPr>
            <w:r>
              <w:rPr>
                <w:spacing w:val="-2"/>
                <w:sz w:val="18"/>
              </w:rPr>
              <w:t>Model</w:t>
            </w:r>
          </w:p>
        </w:tc>
        <w:tc>
          <w:tcPr>
            <w:tcW w:w="2012" w:type="dxa"/>
          </w:tcPr>
          <w:p w14:paraId="1D309023" w14:textId="77777777" w:rsidR="00521B5E" w:rsidRDefault="001A17D5">
            <w:pPr>
              <w:pStyle w:val="TableParagraph"/>
              <w:ind w:left="360"/>
              <w:rPr>
                <w:sz w:val="18"/>
              </w:rPr>
            </w:pPr>
            <w:r>
              <w:rPr>
                <w:sz w:val="18"/>
              </w:rPr>
              <w:t>Sum</w:t>
            </w:r>
            <w:r>
              <w:rPr>
                <w:spacing w:val="2"/>
                <w:sz w:val="18"/>
              </w:rPr>
              <w:t xml:space="preserve"> </w:t>
            </w:r>
            <w:r>
              <w:rPr>
                <w:sz w:val="18"/>
              </w:rPr>
              <w:t>of</w:t>
            </w:r>
            <w:r>
              <w:rPr>
                <w:spacing w:val="-3"/>
                <w:sz w:val="18"/>
              </w:rPr>
              <w:t xml:space="preserve"> </w:t>
            </w:r>
            <w:r>
              <w:rPr>
                <w:spacing w:val="-2"/>
                <w:sz w:val="18"/>
              </w:rPr>
              <w:t>Squares</w:t>
            </w:r>
          </w:p>
        </w:tc>
        <w:tc>
          <w:tcPr>
            <w:tcW w:w="609" w:type="dxa"/>
          </w:tcPr>
          <w:p w14:paraId="6B164C61" w14:textId="77777777" w:rsidR="00521B5E" w:rsidRDefault="001A17D5">
            <w:pPr>
              <w:pStyle w:val="TableParagraph"/>
              <w:ind w:left="13"/>
              <w:jc w:val="center"/>
              <w:rPr>
                <w:sz w:val="18"/>
              </w:rPr>
            </w:pPr>
            <w:r>
              <w:rPr>
                <w:spacing w:val="-5"/>
                <w:sz w:val="18"/>
              </w:rPr>
              <w:t>df</w:t>
            </w:r>
          </w:p>
        </w:tc>
        <w:tc>
          <w:tcPr>
            <w:tcW w:w="1714" w:type="dxa"/>
          </w:tcPr>
          <w:p w14:paraId="517D11E2" w14:textId="77777777" w:rsidR="00521B5E" w:rsidRDefault="001A17D5">
            <w:pPr>
              <w:pStyle w:val="TableParagraph"/>
              <w:ind w:left="318"/>
              <w:rPr>
                <w:sz w:val="18"/>
              </w:rPr>
            </w:pPr>
            <w:r>
              <w:rPr>
                <w:sz w:val="18"/>
              </w:rPr>
              <w:t>Mean</w:t>
            </w:r>
            <w:r>
              <w:rPr>
                <w:spacing w:val="-6"/>
                <w:sz w:val="18"/>
              </w:rPr>
              <w:t xml:space="preserve"> </w:t>
            </w:r>
            <w:r>
              <w:rPr>
                <w:spacing w:val="-2"/>
                <w:sz w:val="18"/>
              </w:rPr>
              <w:t>Square</w:t>
            </w:r>
          </w:p>
        </w:tc>
        <w:tc>
          <w:tcPr>
            <w:tcW w:w="820" w:type="dxa"/>
          </w:tcPr>
          <w:p w14:paraId="4623F3A0" w14:textId="77777777" w:rsidR="00521B5E" w:rsidRDefault="001A17D5">
            <w:pPr>
              <w:pStyle w:val="TableParagraph"/>
              <w:ind w:left="15"/>
              <w:jc w:val="center"/>
              <w:rPr>
                <w:sz w:val="18"/>
              </w:rPr>
            </w:pPr>
            <w:r>
              <w:rPr>
                <w:spacing w:val="-10"/>
                <w:sz w:val="18"/>
              </w:rPr>
              <w:t>F</w:t>
            </w:r>
          </w:p>
        </w:tc>
        <w:tc>
          <w:tcPr>
            <w:tcW w:w="777" w:type="dxa"/>
          </w:tcPr>
          <w:p w14:paraId="6C4629DF" w14:textId="77777777" w:rsidR="00521B5E" w:rsidRDefault="001A17D5">
            <w:pPr>
              <w:pStyle w:val="TableParagraph"/>
              <w:ind w:left="233"/>
              <w:rPr>
                <w:sz w:val="18"/>
              </w:rPr>
            </w:pPr>
            <w:r>
              <w:rPr>
                <w:spacing w:val="-4"/>
                <w:sz w:val="18"/>
              </w:rPr>
              <w:t>Sig.</w:t>
            </w:r>
          </w:p>
        </w:tc>
      </w:tr>
      <w:tr w:rsidR="00521B5E" w14:paraId="266B30B4" w14:textId="77777777">
        <w:trPr>
          <w:trHeight w:val="206"/>
        </w:trPr>
        <w:tc>
          <w:tcPr>
            <w:tcW w:w="326" w:type="dxa"/>
            <w:vMerge w:val="restart"/>
          </w:tcPr>
          <w:p w14:paraId="44CD6420" w14:textId="77777777" w:rsidR="00521B5E" w:rsidRDefault="001A17D5">
            <w:pPr>
              <w:pStyle w:val="TableParagraph"/>
              <w:spacing w:line="201" w:lineRule="exact"/>
              <w:ind w:left="67"/>
              <w:rPr>
                <w:sz w:val="18"/>
              </w:rPr>
            </w:pPr>
            <w:r>
              <w:rPr>
                <w:spacing w:val="-10"/>
                <w:sz w:val="18"/>
              </w:rPr>
              <w:t>1</w:t>
            </w:r>
          </w:p>
        </w:tc>
        <w:tc>
          <w:tcPr>
            <w:tcW w:w="1474" w:type="dxa"/>
          </w:tcPr>
          <w:p w14:paraId="1686F2A6" w14:textId="77777777" w:rsidR="00521B5E" w:rsidRDefault="001A17D5">
            <w:pPr>
              <w:pStyle w:val="TableParagraph"/>
              <w:ind w:left="67"/>
              <w:rPr>
                <w:sz w:val="18"/>
              </w:rPr>
            </w:pPr>
            <w:r>
              <w:rPr>
                <w:spacing w:val="-2"/>
                <w:sz w:val="18"/>
              </w:rPr>
              <w:t>Regression</w:t>
            </w:r>
          </w:p>
        </w:tc>
        <w:tc>
          <w:tcPr>
            <w:tcW w:w="2012" w:type="dxa"/>
          </w:tcPr>
          <w:p w14:paraId="521787AC" w14:textId="77777777" w:rsidR="00521B5E" w:rsidRDefault="001A17D5">
            <w:pPr>
              <w:pStyle w:val="TableParagraph"/>
              <w:ind w:right="49"/>
              <w:jc w:val="right"/>
              <w:rPr>
                <w:sz w:val="18"/>
              </w:rPr>
            </w:pPr>
            <w:r>
              <w:rPr>
                <w:spacing w:val="-2"/>
                <w:sz w:val="18"/>
              </w:rPr>
              <w:t>3918.235</w:t>
            </w:r>
          </w:p>
        </w:tc>
        <w:tc>
          <w:tcPr>
            <w:tcW w:w="609" w:type="dxa"/>
          </w:tcPr>
          <w:p w14:paraId="6BBCA241" w14:textId="77777777" w:rsidR="00521B5E" w:rsidRDefault="001A17D5">
            <w:pPr>
              <w:pStyle w:val="TableParagraph"/>
              <w:ind w:right="48"/>
              <w:jc w:val="right"/>
              <w:rPr>
                <w:sz w:val="18"/>
              </w:rPr>
            </w:pPr>
            <w:r>
              <w:rPr>
                <w:spacing w:val="-10"/>
                <w:sz w:val="18"/>
              </w:rPr>
              <w:t>3</w:t>
            </w:r>
          </w:p>
        </w:tc>
        <w:tc>
          <w:tcPr>
            <w:tcW w:w="1714" w:type="dxa"/>
          </w:tcPr>
          <w:p w14:paraId="3EA99079" w14:textId="77777777" w:rsidR="00521B5E" w:rsidRDefault="001A17D5">
            <w:pPr>
              <w:pStyle w:val="TableParagraph"/>
              <w:ind w:right="54"/>
              <w:jc w:val="right"/>
              <w:rPr>
                <w:sz w:val="18"/>
              </w:rPr>
            </w:pPr>
            <w:r>
              <w:rPr>
                <w:spacing w:val="-2"/>
                <w:sz w:val="18"/>
              </w:rPr>
              <w:t>1306.078</w:t>
            </w:r>
          </w:p>
        </w:tc>
        <w:tc>
          <w:tcPr>
            <w:tcW w:w="820" w:type="dxa"/>
          </w:tcPr>
          <w:p w14:paraId="0A184B5A" w14:textId="77777777" w:rsidR="00521B5E" w:rsidRDefault="001A17D5">
            <w:pPr>
              <w:pStyle w:val="TableParagraph"/>
              <w:ind w:left="308"/>
              <w:rPr>
                <w:sz w:val="18"/>
              </w:rPr>
            </w:pPr>
            <w:r>
              <w:rPr>
                <w:spacing w:val="-2"/>
                <w:sz w:val="18"/>
              </w:rPr>
              <w:t>6.251</w:t>
            </w:r>
          </w:p>
        </w:tc>
        <w:tc>
          <w:tcPr>
            <w:tcW w:w="777" w:type="dxa"/>
          </w:tcPr>
          <w:p w14:paraId="610F638E" w14:textId="77777777" w:rsidR="00521B5E" w:rsidRDefault="001A17D5">
            <w:pPr>
              <w:pStyle w:val="TableParagraph"/>
              <w:ind w:left="295"/>
              <w:rPr>
                <w:sz w:val="18"/>
              </w:rPr>
            </w:pPr>
            <w:r>
              <w:rPr>
                <w:spacing w:val="-2"/>
                <w:sz w:val="18"/>
              </w:rPr>
              <w:t>.001</w:t>
            </w:r>
            <w:r>
              <w:rPr>
                <w:spacing w:val="-2"/>
                <w:sz w:val="18"/>
                <w:vertAlign w:val="superscript"/>
              </w:rPr>
              <w:t>b</w:t>
            </w:r>
          </w:p>
        </w:tc>
      </w:tr>
      <w:tr w:rsidR="00521B5E" w14:paraId="4982E99E" w14:textId="77777777">
        <w:trPr>
          <w:trHeight w:val="278"/>
        </w:trPr>
        <w:tc>
          <w:tcPr>
            <w:tcW w:w="326" w:type="dxa"/>
            <w:vMerge/>
            <w:tcBorders>
              <w:top w:val="nil"/>
            </w:tcBorders>
          </w:tcPr>
          <w:p w14:paraId="7938355D" w14:textId="77777777" w:rsidR="00521B5E" w:rsidRDefault="00521B5E">
            <w:pPr>
              <w:rPr>
                <w:sz w:val="2"/>
                <w:szCs w:val="2"/>
              </w:rPr>
            </w:pPr>
          </w:p>
        </w:tc>
        <w:tc>
          <w:tcPr>
            <w:tcW w:w="1474" w:type="dxa"/>
          </w:tcPr>
          <w:p w14:paraId="7C643807" w14:textId="77777777" w:rsidR="00521B5E" w:rsidRDefault="001A17D5">
            <w:pPr>
              <w:pStyle w:val="TableParagraph"/>
              <w:spacing w:line="201" w:lineRule="exact"/>
              <w:ind w:left="67"/>
              <w:rPr>
                <w:sz w:val="18"/>
              </w:rPr>
            </w:pPr>
            <w:r>
              <w:rPr>
                <w:spacing w:val="-2"/>
                <w:sz w:val="18"/>
              </w:rPr>
              <w:t>Residual</w:t>
            </w:r>
          </w:p>
        </w:tc>
        <w:tc>
          <w:tcPr>
            <w:tcW w:w="2012" w:type="dxa"/>
          </w:tcPr>
          <w:p w14:paraId="2BC65F80" w14:textId="77777777" w:rsidR="00521B5E" w:rsidRDefault="001A17D5">
            <w:pPr>
              <w:pStyle w:val="TableParagraph"/>
              <w:spacing w:line="201" w:lineRule="exact"/>
              <w:ind w:right="49"/>
              <w:jc w:val="right"/>
              <w:rPr>
                <w:sz w:val="18"/>
              </w:rPr>
            </w:pPr>
            <w:r>
              <w:rPr>
                <w:spacing w:val="-2"/>
                <w:sz w:val="18"/>
              </w:rPr>
              <w:t>23190.774</w:t>
            </w:r>
          </w:p>
        </w:tc>
        <w:tc>
          <w:tcPr>
            <w:tcW w:w="609" w:type="dxa"/>
          </w:tcPr>
          <w:p w14:paraId="744A8E2F" w14:textId="77777777" w:rsidR="00521B5E" w:rsidRDefault="001A17D5">
            <w:pPr>
              <w:pStyle w:val="TableParagraph"/>
              <w:spacing w:line="201" w:lineRule="exact"/>
              <w:ind w:right="49"/>
              <w:jc w:val="right"/>
              <w:rPr>
                <w:sz w:val="18"/>
              </w:rPr>
            </w:pPr>
            <w:r>
              <w:rPr>
                <w:spacing w:val="-5"/>
                <w:sz w:val="18"/>
              </w:rPr>
              <w:t>111</w:t>
            </w:r>
          </w:p>
        </w:tc>
        <w:tc>
          <w:tcPr>
            <w:tcW w:w="1714" w:type="dxa"/>
          </w:tcPr>
          <w:p w14:paraId="6B3D955C" w14:textId="77777777" w:rsidR="00521B5E" w:rsidRDefault="001A17D5">
            <w:pPr>
              <w:pStyle w:val="TableParagraph"/>
              <w:spacing w:line="201" w:lineRule="exact"/>
              <w:ind w:right="48"/>
              <w:jc w:val="right"/>
              <w:rPr>
                <w:sz w:val="18"/>
              </w:rPr>
            </w:pPr>
            <w:r>
              <w:rPr>
                <w:spacing w:val="-2"/>
                <w:sz w:val="18"/>
              </w:rPr>
              <w:t>208.926</w:t>
            </w:r>
          </w:p>
        </w:tc>
        <w:tc>
          <w:tcPr>
            <w:tcW w:w="820" w:type="dxa"/>
          </w:tcPr>
          <w:p w14:paraId="3497E707" w14:textId="77777777" w:rsidR="00521B5E" w:rsidRDefault="00521B5E">
            <w:pPr>
              <w:pStyle w:val="TableParagraph"/>
              <w:spacing w:line="240" w:lineRule="auto"/>
              <w:rPr>
                <w:rFonts w:ascii="Times New Roman"/>
                <w:sz w:val="18"/>
              </w:rPr>
            </w:pPr>
          </w:p>
        </w:tc>
        <w:tc>
          <w:tcPr>
            <w:tcW w:w="777" w:type="dxa"/>
          </w:tcPr>
          <w:p w14:paraId="4286D414" w14:textId="77777777" w:rsidR="00521B5E" w:rsidRDefault="00521B5E">
            <w:pPr>
              <w:pStyle w:val="TableParagraph"/>
              <w:spacing w:line="240" w:lineRule="auto"/>
              <w:rPr>
                <w:rFonts w:ascii="Times New Roman"/>
                <w:sz w:val="18"/>
              </w:rPr>
            </w:pPr>
          </w:p>
        </w:tc>
      </w:tr>
      <w:tr w:rsidR="00521B5E" w14:paraId="1BE382A5" w14:textId="77777777">
        <w:trPr>
          <w:trHeight w:val="273"/>
        </w:trPr>
        <w:tc>
          <w:tcPr>
            <w:tcW w:w="326" w:type="dxa"/>
            <w:vMerge/>
            <w:tcBorders>
              <w:top w:val="nil"/>
            </w:tcBorders>
          </w:tcPr>
          <w:p w14:paraId="3E4930E2" w14:textId="77777777" w:rsidR="00521B5E" w:rsidRDefault="00521B5E">
            <w:pPr>
              <w:rPr>
                <w:sz w:val="2"/>
                <w:szCs w:val="2"/>
              </w:rPr>
            </w:pPr>
          </w:p>
        </w:tc>
        <w:tc>
          <w:tcPr>
            <w:tcW w:w="1474" w:type="dxa"/>
          </w:tcPr>
          <w:p w14:paraId="18E529D1" w14:textId="77777777" w:rsidR="00521B5E" w:rsidRDefault="001A17D5">
            <w:pPr>
              <w:pStyle w:val="TableParagraph"/>
              <w:spacing w:line="202" w:lineRule="exact"/>
              <w:ind w:left="67"/>
              <w:rPr>
                <w:sz w:val="18"/>
              </w:rPr>
            </w:pPr>
            <w:r>
              <w:rPr>
                <w:spacing w:val="-2"/>
                <w:sz w:val="18"/>
              </w:rPr>
              <w:t>Total</w:t>
            </w:r>
          </w:p>
        </w:tc>
        <w:tc>
          <w:tcPr>
            <w:tcW w:w="2012" w:type="dxa"/>
          </w:tcPr>
          <w:p w14:paraId="2A81F6FE" w14:textId="77777777" w:rsidR="00521B5E" w:rsidRDefault="001A17D5">
            <w:pPr>
              <w:pStyle w:val="TableParagraph"/>
              <w:spacing w:line="202" w:lineRule="exact"/>
              <w:ind w:right="49"/>
              <w:jc w:val="right"/>
              <w:rPr>
                <w:sz w:val="18"/>
              </w:rPr>
            </w:pPr>
            <w:r>
              <w:rPr>
                <w:spacing w:val="-2"/>
                <w:sz w:val="18"/>
              </w:rPr>
              <w:t>27109.009</w:t>
            </w:r>
          </w:p>
        </w:tc>
        <w:tc>
          <w:tcPr>
            <w:tcW w:w="609" w:type="dxa"/>
          </w:tcPr>
          <w:p w14:paraId="56ED2D5D" w14:textId="77777777" w:rsidR="00521B5E" w:rsidRDefault="001A17D5">
            <w:pPr>
              <w:pStyle w:val="TableParagraph"/>
              <w:spacing w:line="202" w:lineRule="exact"/>
              <w:ind w:right="49"/>
              <w:jc w:val="right"/>
              <w:rPr>
                <w:sz w:val="18"/>
              </w:rPr>
            </w:pPr>
            <w:r>
              <w:rPr>
                <w:spacing w:val="-5"/>
                <w:sz w:val="18"/>
              </w:rPr>
              <w:t>114</w:t>
            </w:r>
          </w:p>
        </w:tc>
        <w:tc>
          <w:tcPr>
            <w:tcW w:w="1714" w:type="dxa"/>
          </w:tcPr>
          <w:p w14:paraId="63F22060" w14:textId="77777777" w:rsidR="00521B5E" w:rsidRDefault="00521B5E">
            <w:pPr>
              <w:pStyle w:val="TableParagraph"/>
              <w:spacing w:line="240" w:lineRule="auto"/>
              <w:rPr>
                <w:rFonts w:ascii="Times New Roman"/>
                <w:sz w:val="18"/>
              </w:rPr>
            </w:pPr>
          </w:p>
        </w:tc>
        <w:tc>
          <w:tcPr>
            <w:tcW w:w="820" w:type="dxa"/>
          </w:tcPr>
          <w:p w14:paraId="5AD0E9AD" w14:textId="77777777" w:rsidR="00521B5E" w:rsidRDefault="00521B5E">
            <w:pPr>
              <w:pStyle w:val="TableParagraph"/>
              <w:spacing w:line="240" w:lineRule="auto"/>
              <w:rPr>
                <w:rFonts w:ascii="Times New Roman"/>
                <w:sz w:val="18"/>
              </w:rPr>
            </w:pPr>
          </w:p>
        </w:tc>
        <w:tc>
          <w:tcPr>
            <w:tcW w:w="777" w:type="dxa"/>
          </w:tcPr>
          <w:p w14:paraId="1BA173C8" w14:textId="77777777" w:rsidR="00521B5E" w:rsidRDefault="00521B5E">
            <w:pPr>
              <w:pStyle w:val="TableParagraph"/>
              <w:spacing w:line="240" w:lineRule="auto"/>
              <w:rPr>
                <w:rFonts w:ascii="Times New Roman"/>
                <w:sz w:val="18"/>
              </w:rPr>
            </w:pPr>
          </w:p>
        </w:tc>
      </w:tr>
      <w:tr w:rsidR="00521B5E" w14:paraId="62B7ABEF" w14:textId="77777777">
        <w:trPr>
          <w:trHeight w:val="210"/>
        </w:trPr>
        <w:tc>
          <w:tcPr>
            <w:tcW w:w="7732" w:type="dxa"/>
            <w:gridSpan w:val="7"/>
          </w:tcPr>
          <w:p w14:paraId="0217B642" w14:textId="77777777" w:rsidR="00521B5E" w:rsidRDefault="001A17D5">
            <w:pPr>
              <w:pStyle w:val="TableParagraph"/>
              <w:spacing w:line="191" w:lineRule="exact"/>
              <w:ind w:left="67"/>
              <w:rPr>
                <w:sz w:val="18"/>
              </w:rPr>
            </w:pPr>
            <w:r>
              <w:rPr>
                <w:sz w:val="18"/>
              </w:rPr>
              <w:t>a.</w:t>
            </w:r>
            <w:r>
              <w:rPr>
                <w:spacing w:val="-3"/>
                <w:sz w:val="18"/>
              </w:rPr>
              <w:t xml:space="preserve"> </w:t>
            </w:r>
            <w:r>
              <w:rPr>
                <w:sz w:val="18"/>
              </w:rPr>
              <w:t>Dependent</w:t>
            </w:r>
            <w:r>
              <w:rPr>
                <w:spacing w:val="-2"/>
                <w:sz w:val="18"/>
              </w:rPr>
              <w:t xml:space="preserve"> </w:t>
            </w:r>
            <w:r>
              <w:rPr>
                <w:sz w:val="18"/>
              </w:rPr>
              <w:t>Variable:</w:t>
            </w:r>
            <w:r>
              <w:rPr>
                <w:spacing w:val="-2"/>
                <w:sz w:val="18"/>
              </w:rPr>
              <w:t xml:space="preserve"> </w:t>
            </w:r>
            <w:r>
              <w:rPr>
                <w:sz w:val="18"/>
              </w:rPr>
              <w:t>Effective</w:t>
            </w:r>
            <w:r>
              <w:rPr>
                <w:spacing w:val="-9"/>
                <w:sz w:val="18"/>
              </w:rPr>
              <w:t xml:space="preserve"> </w:t>
            </w:r>
            <w:r>
              <w:rPr>
                <w:sz w:val="18"/>
              </w:rPr>
              <w:t>Tax</w:t>
            </w:r>
            <w:r>
              <w:rPr>
                <w:spacing w:val="-8"/>
                <w:sz w:val="18"/>
              </w:rPr>
              <w:t xml:space="preserve"> </w:t>
            </w:r>
            <w:r>
              <w:rPr>
                <w:spacing w:val="-4"/>
                <w:sz w:val="18"/>
              </w:rPr>
              <w:t>Rate</w:t>
            </w:r>
          </w:p>
        </w:tc>
      </w:tr>
      <w:tr w:rsidR="00521B5E" w14:paraId="69A637D7" w14:textId="77777777">
        <w:trPr>
          <w:trHeight w:val="205"/>
        </w:trPr>
        <w:tc>
          <w:tcPr>
            <w:tcW w:w="7732" w:type="dxa"/>
            <w:gridSpan w:val="7"/>
          </w:tcPr>
          <w:p w14:paraId="3B4BE53D" w14:textId="77777777" w:rsidR="00521B5E" w:rsidRDefault="001A17D5">
            <w:pPr>
              <w:pStyle w:val="TableParagraph"/>
              <w:ind w:left="67"/>
              <w:rPr>
                <w:sz w:val="18"/>
              </w:rPr>
            </w:pPr>
            <w:r>
              <w:rPr>
                <w:sz w:val="18"/>
              </w:rPr>
              <w:t>b.</w:t>
            </w:r>
            <w:r>
              <w:rPr>
                <w:spacing w:val="-4"/>
                <w:sz w:val="18"/>
              </w:rPr>
              <w:t xml:space="preserve"> </w:t>
            </w:r>
            <w:r>
              <w:rPr>
                <w:sz w:val="18"/>
              </w:rPr>
              <w:t>Predictors:</w:t>
            </w:r>
            <w:r>
              <w:rPr>
                <w:spacing w:val="-7"/>
                <w:sz w:val="18"/>
              </w:rPr>
              <w:t xml:space="preserve"> </w:t>
            </w:r>
            <w:r>
              <w:rPr>
                <w:sz w:val="18"/>
              </w:rPr>
              <w:t>(Constant),</w:t>
            </w:r>
            <w:r>
              <w:rPr>
                <w:spacing w:val="-8"/>
                <w:sz w:val="18"/>
              </w:rPr>
              <w:t xml:space="preserve"> </w:t>
            </w:r>
            <w:r>
              <w:rPr>
                <w:sz w:val="18"/>
              </w:rPr>
              <w:t>Capital</w:t>
            </w:r>
            <w:r>
              <w:rPr>
                <w:spacing w:val="-6"/>
                <w:sz w:val="18"/>
              </w:rPr>
              <w:t xml:space="preserve"> </w:t>
            </w:r>
            <w:r>
              <w:rPr>
                <w:sz w:val="18"/>
              </w:rPr>
              <w:t>Intensity</w:t>
            </w:r>
            <w:r>
              <w:rPr>
                <w:spacing w:val="-10"/>
                <w:sz w:val="18"/>
              </w:rPr>
              <w:t xml:space="preserve"> </w:t>
            </w:r>
            <w:r>
              <w:rPr>
                <w:sz w:val="18"/>
              </w:rPr>
              <w:t>Ratio,</w:t>
            </w:r>
            <w:r>
              <w:rPr>
                <w:spacing w:val="2"/>
                <w:sz w:val="18"/>
              </w:rPr>
              <w:t xml:space="preserve"> </w:t>
            </w:r>
            <w:r>
              <w:rPr>
                <w:sz w:val="18"/>
              </w:rPr>
              <w:t>Dividend</w:t>
            </w:r>
            <w:r>
              <w:rPr>
                <w:spacing w:val="-5"/>
                <w:sz w:val="18"/>
              </w:rPr>
              <w:t xml:space="preserve"> </w:t>
            </w:r>
            <w:r>
              <w:rPr>
                <w:sz w:val="18"/>
              </w:rPr>
              <w:t>Payout</w:t>
            </w:r>
            <w:r>
              <w:rPr>
                <w:spacing w:val="-8"/>
                <w:sz w:val="18"/>
              </w:rPr>
              <w:t xml:space="preserve"> </w:t>
            </w:r>
            <w:r>
              <w:rPr>
                <w:sz w:val="18"/>
              </w:rPr>
              <w:t>Ratio,</w:t>
            </w:r>
            <w:r>
              <w:rPr>
                <w:spacing w:val="-6"/>
                <w:sz w:val="18"/>
              </w:rPr>
              <w:t xml:space="preserve"> </w:t>
            </w:r>
            <w:r>
              <w:rPr>
                <w:sz w:val="18"/>
              </w:rPr>
              <w:t>Institutional</w:t>
            </w:r>
            <w:r>
              <w:rPr>
                <w:spacing w:val="-7"/>
                <w:sz w:val="18"/>
              </w:rPr>
              <w:t xml:space="preserve"> </w:t>
            </w:r>
            <w:r>
              <w:rPr>
                <w:spacing w:val="-2"/>
                <w:sz w:val="18"/>
              </w:rPr>
              <w:t>Ownership</w:t>
            </w:r>
          </w:p>
        </w:tc>
      </w:tr>
    </w:tbl>
    <w:p w14:paraId="28B9156A" w14:textId="77777777" w:rsidR="00521B5E" w:rsidRDefault="001A17D5">
      <w:pPr>
        <w:pStyle w:val="BodyText"/>
        <w:ind w:left="707"/>
      </w:pPr>
      <w:r>
        <w:t>(Source:</w:t>
      </w:r>
      <w:r>
        <w:rPr>
          <w:spacing w:val="40"/>
        </w:rPr>
        <w:t xml:space="preserve"> </w:t>
      </w:r>
      <w:r>
        <w:t>data</w:t>
      </w:r>
      <w:r>
        <w:rPr>
          <w:spacing w:val="-4"/>
        </w:rPr>
        <w:t xml:space="preserve"> </w:t>
      </w:r>
      <w:r>
        <w:t>processing</w:t>
      </w:r>
      <w:r>
        <w:rPr>
          <w:spacing w:val="-13"/>
        </w:rPr>
        <w:t xml:space="preserve"> </w:t>
      </w:r>
      <w:r>
        <w:t>result,</w:t>
      </w:r>
      <w:r>
        <w:rPr>
          <w:spacing w:val="-3"/>
        </w:rPr>
        <w:t xml:space="preserve"> </w:t>
      </w:r>
      <w:r>
        <w:rPr>
          <w:spacing w:val="-4"/>
        </w:rPr>
        <w:t>2025)</w:t>
      </w:r>
    </w:p>
    <w:p w14:paraId="5F7742F8" w14:textId="77777777" w:rsidR="00521B5E" w:rsidRDefault="00521B5E">
      <w:pPr>
        <w:pStyle w:val="BodyText"/>
        <w:sectPr w:rsidR="00521B5E" w:rsidSect="00C365DA">
          <w:headerReference w:type="even" r:id="rId9"/>
          <w:headerReference w:type="default" r:id="rId10"/>
          <w:footerReference w:type="even" r:id="rId11"/>
          <w:footerReference w:type="default" r:id="rId12"/>
          <w:headerReference w:type="first" r:id="rId13"/>
          <w:footerReference w:type="first" r:id="rId14"/>
          <w:pgSz w:w="11910" w:h="16840"/>
          <w:pgMar w:top="1920" w:right="1275" w:bottom="280" w:left="1559" w:header="368" w:footer="0" w:gutter="0"/>
          <w:pgNumType w:start="221"/>
          <w:cols w:space="720"/>
        </w:sectPr>
      </w:pPr>
    </w:p>
    <w:p w14:paraId="7D511E86" w14:textId="77777777" w:rsidR="00521B5E" w:rsidRDefault="001A17D5">
      <w:pPr>
        <w:pStyle w:val="BodyText"/>
        <w:spacing w:before="52"/>
        <w:ind w:left="140" w:right="138" w:firstLine="283"/>
        <w:jc w:val="both"/>
      </w:pPr>
      <w:r>
        <w:lastRenderedPageBreak/>
        <w:t>Institutional ownership, dividends, and capital intensity each play an essential role in influencing a company’s tax planning strategies. Institutional ownership</w:t>
      </w:r>
      <w:r>
        <w:rPr>
          <w:spacing w:val="-4"/>
        </w:rPr>
        <w:t xml:space="preserve"> </w:t>
      </w:r>
      <w:r>
        <w:t>refers to the percentage</w:t>
      </w:r>
      <w:r>
        <w:rPr>
          <w:spacing w:val="-2"/>
        </w:rPr>
        <w:t xml:space="preserve"> </w:t>
      </w:r>
      <w:r>
        <w:t>of company</w:t>
      </w:r>
      <w:r>
        <w:rPr>
          <w:spacing w:val="-4"/>
        </w:rPr>
        <w:t xml:space="preserve"> </w:t>
      </w:r>
      <w:r>
        <w:t>shares owned by financial institutions such as mutual funds, insurance companies, or pension funds. These institutional investors tend to be more sophisticated and have stronger monitoring capabilities than individual investors.</w:t>
      </w:r>
      <w:r>
        <w:rPr>
          <w:spacing w:val="40"/>
        </w:rPr>
        <w:t xml:space="preserve"> </w:t>
      </w:r>
      <w:r>
        <w:t>As a result, their presence often pushes management toward more transparent and responsible tax behavior. Institutional owners are typically more concerned with long-term performance and reputational risk, which may reduce the likelihood of aggressive or risky tax avoidance practices.</w:t>
      </w:r>
    </w:p>
    <w:p w14:paraId="2C0CF33E" w14:textId="77777777" w:rsidR="00521B5E" w:rsidRDefault="001A17D5">
      <w:pPr>
        <w:pStyle w:val="BodyText"/>
        <w:ind w:left="140" w:right="132" w:firstLine="283"/>
        <w:jc w:val="both"/>
      </w:pPr>
      <w:r>
        <w:t>Meanwhile, dividend policy, which determines how much of a company's profit it distributes to its shareholders, also has implications for tax planning. A firm that pays high dividends often signals financial health and stable earnings, which may increase scrutiny from tax authorities. Thus, firms may adopt more conservative and well-structured tax planning strategies to avoid penalties or reputational damage. In</w:t>
      </w:r>
      <w:r>
        <w:rPr>
          <w:spacing w:val="40"/>
        </w:rPr>
        <w:t xml:space="preserve"> </w:t>
      </w:r>
      <w:r>
        <w:t>contrast, firms with lower dividend payouts may retain earnings for reinvestment, potentially allowing more flexibility in managing taxable income.</w:t>
      </w:r>
    </w:p>
    <w:p w14:paraId="07DC4F0B" w14:textId="77777777" w:rsidR="00521B5E" w:rsidRDefault="001A17D5">
      <w:pPr>
        <w:pStyle w:val="BodyText"/>
        <w:spacing w:before="2"/>
        <w:ind w:left="140" w:right="135" w:firstLine="283"/>
        <w:jc w:val="both"/>
      </w:pPr>
      <w:r>
        <w:t>Capital intensity, which refers to the extent of a company’s investment in fixed assets such as</w:t>
      </w:r>
      <w:r>
        <w:rPr>
          <w:spacing w:val="-2"/>
        </w:rPr>
        <w:t xml:space="preserve"> </w:t>
      </w:r>
      <w:r>
        <w:t>machinery and equipment, can influence the depreciation deductions a company can claim. These deductions can lower taxable income, making capital gains a valuable tool in tax planning. Although capital intensity may not always significantly affect tax planning when examined in isolation, it contributes to the broader strategy when combined with ownership structure and financial policy. Collectively, these factors demonstrate how corporate governance and investment structure are closely tied to tax-related decision-making.</w:t>
      </w:r>
    </w:p>
    <w:p w14:paraId="29D11158" w14:textId="77777777" w:rsidR="00521B5E" w:rsidRDefault="00521B5E">
      <w:pPr>
        <w:pStyle w:val="BodyText"/>
        <w:spacing w:before="3"/>
      </w:pPr>
    </w:p>
    <w:p w14:paraId="54932739" w14:textId="77777777" w:rsidR="00521B5E" w:rsidRDefault="001A17D5">
      <w:pPr>
        <w:pStyle w:val="Heading1"/>
        <w:spacing w:line="240" w:lineRule="auto"/>
        <w:ind w:left="24" w:right="18"/>
      </w:pPr>
      <w:r>
        <w:t>Table</w:t>
      </w:r>
      <w:r>
        <w:rPr>
          <w:spacing w:val="-8"/>
        </w:rPr>
        <w:t xml:space="preserve"> </w:t>
      </w:r>
      <w:r>
        <w:t>2</w:t>
      </w:r>
      <w:r>
        <w:rPr>
          <w:spacing w:val="-2"/>
        </w:rPr>
        <w:t xml:space="preserve"> </w:t>
      </w:r>
      <w:r>
        <w:t>Partial</w:t>
      </w:r>
      <w:r>
        <w:rPr>
          <w:spacing w:val="-5"/>
        </w:rPr>
        <w:t xml:space="preserve"> </w:t>
      </w:r>
      <w:r>
        <w:rPr>
          <w:spacing w:val="-4"/>
        </w:rPr>
        <w:t>Test</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
        <w:gridCol w:w="1949"/>
        <w:gridCol w:w="1075"/>
        <w:gridCol w:w="1310"/>
        <w:gridCol w:w="2179"/>
        <w:gridCol w:w="580"/>
        <w:gridCol w:w="484"/>
      </w:tblGrid>
      <w:tr w:rsidR="00521B5E" w14:paraId="431C5F25" w14:textId="77777777">
        <w:trPr>
          <w:trHeight w:val="277"/>
        </w:trPr>
        <w:tc>
          <w:tcPr>
            <w:tcW w:w="7807" w:type="dxa"/>
            <w:gridSpan w:val="7"/>
          </w:tcPr>
          <w:p w14:paraId="2C548FC6" w14:textId="77777777" w:rsidR="00521B5E" w:rsidRDefault="001A17D5">
            <w:pPr>
              <w:pStyle w:val="TableParagraph"/>
              <w:spacing w:line="258" w:lineRule="exact"/>
              <w:ind w:left="16"/>
              <w:jc w:val="center"/>
              <w:rPr>
                <w:rFonts w:ascii="Arial"/>
                <w:b/>
                <w:sz w:val="24"/>
              </w:rPr>
            </w:pPr>
            <w:r>
              <w:rPr>
                <w:rFonts w:ascii="Arial"/>
                <w:b/>
                <w:color w:val="000104"/>
                <w:spacing w:val="-2"/>
                <w:sz w:val="24"/>
              </w:rPr>
              <w:t>Coefficients</w:t>
            </w:r>
            <w:r>
              <w:rPr>
                <w:rFonts w:ascii="Arial"/>
                <w:b/>
                <w:color w:val="000104"/>
                <w:spacing w:val="-2"/>
                <w:sz w:val="24"/>
                <w:vertAlign w:val="superscript"/>
              </w:rPr>
              <w:t>a</w:t>
            </w:r>
          </w:p>
        </w:tc>
      </w:tr>
      <w:tr w:rsidR="00521B5E" w14:paraId="144E1A48" w14:textId="77777777">
        <w:trPr>
          <w:trHeight w:val="205"/>
        </w:trPr>
        <w:tc>
          <w:tcPr>
            <w:tcW w:w="2179" w:type="dxa"/>
            <w:gridSpan w:val="2"/>
            <w:vMerge w:val="restart"/>
          </w:tcPr>
          <w:p w14:paraId="327ADB78" w14:textId="77777777" w:rsidR="00521B5E" w:rsidRDefault="00521B5E">
            <w:pPr>
              <w:pStyle w:val="TableParagraph"/>
              <w:spacing w:before="3" w:line="240" w:lineRule="auto"/>
              <w:rPr>
                <w:rFonts w:ascii="Times New Roman"/>
                <w:b/>
                <w:sz w:val="18"/>
              </w:rPr>
            </w:pPr>
          </w:p>
          <w:p w14:paraId="2E4259F2" w14:textId="77777777" w:rsidR="00521B5E" w:rsidRDefault="001A17D5">
            <w:pPr>
              <w:pStyle w:val="TableParagraph"/>
              <w:spacing w:line="192" w:lineRule="exact"/>
              <w:ind w:left="66"/>
              <w:rPr>
                <w:sz w:val="18"/>
              </w:rPr>
            </w:pPr>
            <w:r>
              <w:rPr>
                <w:color w:val="25495F"/>
                <w:spacing w:val="-2"/>
                <w:sz w:val="18"/>
              </w:rPr>
              <w:t>Model</w:t>
            </w:r>
          </w:p>
        </w:tc>
        <w:tc>
          <w:tcPr>
            <w:tcW w:w="2385" w:type="dxa"/>
            <w:gridSpan w:val="2"/>
          </w:tcPr>
          <w:p w14:paraId="42815A1A" w14:textId="77777777" w:rsidR="00521B5E" w:rsidRDefault="001A17D5">
            <w:pPr>
              <w:pStyle w:val="TableParagraph"/>
              <w:ind w:left="73"/>
              <w:rPr>
                <w:sz w:val="18"/>
              </w:rPr>
            </w:pPr>
            <w:r>
              <w:rPr>
                <w:color w:val="25495F"/>
                <w:sz w:val="18"/>
              </w:rPr>
              <w:t>Unstandardized</w:t>
            </w:r>
            <w:r>
              <w:rPr>
                <w:color w:val="25495F"/>
                <w:spacing w:val="-12"/>
                <w:sz w:val="18"/>
              </w:rPr>
              <w:t xml:space="preserve"> </w:t>
            </w:r>
            <w:r>
              <w:rPr>
                <w:color w:val="25495F"/>
                <w:spacing w:val="-2"/>
                <w:sz w:val="18"/>
              </w:rPr>
              <w:t>Coefficients</w:t>
            </w:r>
          </w:p>
        </w:tc>
        <w:tc>
          <w:tcPr>
            <w:tcW w:w="2179" w:type="dxa"/>
          </w:tcPr>
          <w:p w14:paraId="776A7255" w14:textId="77777777" w:rsidR="00521B5E" w:rsidRDefault="001A17D5">
            <w:pPr>
              <w:pStyle w:val="TableParagraph"/>
              <w:ind w:right="44"/>
              <w:jc w:val="right"/>
              <w:rPr>
                <w:sz w:val="18"/>
              </w:rPr>
            </w:pPr>
            <w:r>
              <w:rPr>
                <w:color w:val="25495F"/>
                <w:sz w:val="18"/>
              </w:rPr>
              <w:t>Standardized</w:t>
            </w:r>
            <w:r>
              <w:rPr>
                <w:color w:val="25495F"/>
                <w:spacing w:val="-8"/>
                <w:sz w:val="18"/>
              </w:rPr>
              <w:t xml:space="preserve"> </w:t>
            </w:r>
            <w:r>
              <w:rPr>
                <w:color w:val="25495F"/>
                <w:spacing w:val="-2"/>
                <w:sz w:val="18"/>
              </w:rPr>
              <w:t>Coefficients</w:t>
            </w:r>
          </w:p>
        </w:tc>
        <w:tc>
          <w:tcPr>
            <w:tcW w:w="580" w:type="dxa"/>
            <w:vMerge w:val="restart"/>
          </w:tcPr>
          <w:p w14:paraId="49B10D61" w14:textId="77777777" w:rsidR="00521B5E" w:rsidRDefault="00521B5E">
            <w:pPr>
              <w:pStyle w:val="TableParagraph"/>
              <w:spacing w:before="3" w:line="240" w:lineRule="auto"/>
              <w:rPr>
                <w:rFonts w:ascii="Times New Roman"/>
                <w:b/>
                <w:sz w:val="18"/>
              </w:rPr>
            </w:pPr>
          </w:p>
          <w:p w14:paraId="285B2EA9" w14:textId="77777777" w:rsidR="00521B5E" w:rsidRDefault="001A17D5">
            <w:pPr>
              <w:pStyle w:val="TableParagraph"/>
              <w:spacing w:line="192" w:lineRule="exact"/>
              <w:ind w:left="24"/>
              <w:jc w:val="center"/>
              <w:rPr>
                <w:sz w:val="18"/>
              </w:rPr>
            </w:pPr>
            <w:r>
              <w:rPr>
                <w:color w:val="25495F"/>
                <w:spacing w:val="-10"/>
                <w:sz w:val="18"/>
              </w:rPr>
              <w:t>t</w:t>
            </w:r>
          </w:p>
        </w:tc>
        <w:tc>
          <w:tcPr>
            <w:tcW w:w="484" w:type="dxa"/>
            <w:vMerge w:val="restart"/>
          </w:tcPr>
          <w:p w14:paraId="4D19DCDD" w14:textId="77777777" w:rsidR="00521B5E" w:rsidRDefault="00521B5E">
            <w:pPr>
              <w:pStyle w:val="TableParagraph"/>
              <w:spacing w:before="3" w:line="240" w:lineRule="auto"/>
              <w:rPr>
                <w:rFonts w:ascii="Times New Roman"/>
                <w:b/>
                <w:sz w:val="18"/>
              </w:rPr>
            </w:pPr>
          </w:p>
          <w:p w14:paraId="743AF175" w14:textId="77777777" w:rsidR="00521B5E" w:rsidRDefault="001A17D5">
            <w:pPr>
              <w:pStyle w:val="TableParagraph"/>
              <w:spacing w:line="192" w:lineRule="exact"/>
              <w:ind w:left="95"/>
              <w:rPr>
                <w:sz w:val="18"/>
              </w:rPr>
            </w:pPr>
            <w:r>
              <w:rPr>
                <w:color w:val="25495F"/>
                <w:spacing w:val="-4"/>
                <w:sz w:val="18"/>
              </w:rPr>
              <w:t>Sig.</w:t>
            </w:r>
          </w:p>
        </w:tc>
      </w:tr>
      <w:tr w:rsidR="00521B5E" w14:paraId="5A9354D7" w14:textId="77777777">
        <w:trPr>
          <w:trHeight w:val="206"/>
        </w:trPr>
        <w:tc>
          <w:tcPr>
            <w:tcW w:w="2179" w:type="dxa"/>
            <w:gridSpan w:val="2"/>
            <w:vMerge/>
            <w:tcBorders>
              <w:top w:val="nil"/>
            </w:tcBorders>
          </w:tcPr>
          <w:p w14:paraId="1352EA8A" w14:textId="77777777" w:rsidR="00521B5E" w:rsidRDefault="00521B5E">
            <w:pPr>
              <w:rPr>
                <w:sz w:val="2"/>
                <w:szCs w:val="2"/>
              </w:rPr>
            </w:pPr>
          </w:p>
        </w:tc>
        <w:tc>
          <w:tcPr>
            <w:tcW w:w="1075" w:type="dxa"/>
          </w:tcPr>
          <w:p w14:paraId="6EFC7451" w14:textId="77777777" w:rsidR="00521B5E" w:rsidRDefault="001A17D5">
            <w:pPr>
              <w:pStyle w:val="TableParagraph"/>
              <w:ind w:left="18"/>
              <w:jc w:val="center"/>
              <w:rPr>
                <w:sz w:val="18"/>
              </w:rPr>
            </w:pPr>
            <w:r>
              <w:rPr>
                <w:color w:val="25495F"/>
                <w:spacing w:val="-10"/>
                <w:sz w:val="18"/>
              </w:rPr>
              <w:t>B</w:t>
            </w:r>
          </w:p>
        </w:tc>
        <w:tc>
          <w:tcPr>
            <w:tcW w:w="1310" w:type="dxa"/>
          </w:tcPr>
          <w:p w14:paraId="66072C81" w14:textId="77777777" w:rsidR="00521B5E" w:rsidRDefault="001A17D5">
            <w:pPr>
              <w:pStyle w:val="TableParagraph"/>
              <w:ind w:left="270"/>
              <w:rPr>
                <w:sz w:val="18"/>
              </w:rPr>
            </w:pPr>
            <w:r>
              <w:rPr>
                <w:color w:val="25495F"/>
                <w:sz w:val="18"/>
              </w:rPr>
              <w:t xml:space="preserve">Std. </w:t>
            </w:r>
            <w:r>
              <w:rPr>
                <w:color w:val="25495F"/>
                <w:spacing w:val="-2"/>
                <w:sz w:val="18"/>
              </w:rPr>
              <w:t>Error</w:t>
            </w:r>
          </w:p>
        </w:tc>
        <w:tc>
          <w:tcPr>
            <w:tcW w:w="2179" w:type="dxa"/>
          </w:tcPr>
          <w:p w14:paraId="3C432C0D" w14:textId="77777777" w:rsidR="00521B5E" w:rsidRDefault="001A17D5">
            <w:pPr>
              <w:pStyle w:val="TableParagraph"/>
              <w:ind w:left="20"/>
              <w:jc w:val="center"/>
              <w:rPr>
                <w:sz w:val="18"/>
              </w:rPr>
            </w:pPr>
            <w:r>
              <w:rPr>
                <w:color w:val="25495F"/>
                <w:spacing w:val="-4"/>
                <w:sz w:val="18"/>
              </w:rPr>
              <w:t>Beta</w:t>
            </w:r>
          </w:p>
        </w:tc>
        <w:tc>
          <w:tcPr>
            <w:tcW w:w="580" w:type="dxa"/>
            <w:vMerge/>
            <w:tcBorders>
              <w:top w:val="nil"/>
            </w:tcBorders>
          </w:tcPr>
          <w:p w14:paraId="77FDCABB" w14:textId="77777777" w:rsidR="00521B5E" w:rsidRDefault="00521B5E">
            <w:pPr>
              <w:rPr>
                <w:sz w:val="2"/>
                <w:szCs w:val="2"/>
              </w:rPr>
            </w:pPr>
          </w:p>
        </w:tc>
        <w:tc>
          <w:tcPr>
            <w:tcW w:w="484" w:type="dxa"/>
            <w:vMerge/>
            <w:tcBorders>
              <w:top w:val="nil"/>
            </w:tcBorders>
          </w:tcPr>
          <w:p w14:paraId="5E576A3B" w14:textId="77777777" w:rsidR="00521B5E" w:rsidRDefault="00521B5E">
            <w:pPr>
              <w:rPr>
                <w:sz w:val="2"/>
                <w:szCs w:val="2"/>
              </w:rPr>
            </w:pPr>
          </w:p>
        </w:tc>
      </w:tr>
      <w:tr w:rsidR="00521B5E" w14:paraId="0CCEC558" w14:textId="77777777">
        <w:trPr>
          <w:trHeight w:val="277"/>
        </w:trPr>
        <w:tc>
          <w:tcPr>
            <w:tcW w:w="230" w:type="dxa"/>
            <w:vMerge w:val="restart"/>
          </w:tcPr>
          <w:p w14:paraId="612A9C29" w14:textId="77777777" w:rsidR="00521B5E" w:rsidRDefault="001A17D5">
            <w:pPr>
              <w:pStyle w:val="TableParagraph"/>
              <w:spacing w:line="201" w:lineRule="exact"/>
              <w:ind w:left="66"/>
              <w:rPr>
                <w:sz w:val="18"/>
              </w:rPr>
            </w:pPr>
            <w:r>
              <w:rPr>
                <w:color w:val="25495F"/>
                <w:spacing w:val="-10"/>
                <w:sz w:val="18"/>
              </w:rPr>
              <w:t>1</w:t>
            </w:r>
          </w:p>
        </w:tc>
        <w:tc>
          <w:tcPr>
            <w:tcW w:w="1949" w:type="dxa"/>
          </w:tcPr>
          <w:p w14:paraId="3AB5CBDA" w14:textId="77777777" w:rsidR="00521B5E" w:rsidRDefault="001A17D5">
            <w:pPr>
              <w:pStyle w:val="TableParagraph"/>
              <w:spacing w:line="201" w:lineRule="exact"/>
              <w:ind w:left="67"/>
              <w:rPr>
                <w:sz w:val="18"/>
              </w:rPr>
            </w:pPr>
            <w:r>
              <w:rPr>
                <w:color w:val="25495F"/>
                <w:spacing w:val="-2"/>
                <w:sz w:val="18"/>
              </w:rPr>
              <w:t>(Constant)</w:t>
            </w:r>
          </w:p>
        </w:tc>
        <w:tc>
          <w:tcPr>
            <w:tcW w:w="1075" w:type="dxa"/>
          </w:tcPr>
          <w:p w14:paraId="6B5A46CE" w14:textId="77777777" w:rsidR="00521B5E" w:rsidRDefault="001A17D5">
            <w:pPr>
              <w:pStyle w:val="TableParagraph"/>
              <w:spacing w:line="201" w:lineRule="exact"/>
              <w:ind w:right="43"/>
              <w:jc w:val="right"/>
              <w:rPr>
                <w:sz w:val="18"/>
              </w:rPr>
            </w:pPr>
            <w:r>
              <w:rPr>
                <w:color w:val="000104"/>
                <w:spacing w:val="-2"/>
                <w:sz w:val="18"/>
              </w:rPr>
              <w:t>50.049</w:t>
            </w:r>
          </w:p>
        </w:tc>
        <w:tc>
          <w:tcPr>
            <w:tcW w:w="1310" w:type="dxa"/>
          </w:tcPr>
          <w:p w14:paraId="015B3A29" w14:textId="77777777" w:rsidR="00521B5E" w:rsidRDefault="001A17D5">
            <w:pPr>
              <w:pStyle w:val="TableParagraph"/>
              <w:spacing w:line="201" w:lineRule="exact"/>
              <w:ind w:right="47"/>
              <w:jc w:val="right"/>
              <w:rPr>
                <w:sz w:val="18"/>
              </w:rPr>
            </w:pPr>
            <w:r>
              <w:rPr>
                <w:color w:val="000104"/>
                <w:spacing w:val="-2"/>
                <w:sz w:val="18"/>
              </w:rPr>
              <w:t>8.023</w:t>
            </w:r>
          </w:p>
        </w:tc>
        <w:tc>
          <w:tcPr>
            <w:tcW w:w="2179" w:type="dxa"/>
          </w:tcPr>
          <w:p w14:paraId="23D2EAF9" w14:textId="77777777" w:rsidR="00521B5E" w:rsidRDefault="00521B5E">
            <w:pPr>
              <w:pStyle w:val="TableParagraph"/>
              <w:spacing w:line="240" w:lineRule="auto"/>
              <w:rPr>
                <w:rFonts w:ascii="Times New Roman"/>
                <w:sz w:val="20"/>
              </w:rPr>
            </w:pPr>
          </w:p>
        </w:tc>
        <w:tc>
          <w:tcPr>
            <w:tcW w:w="580" w:type="dxa"/>
          </w:tcPr>
          <w:p w14:paraId="6D8D0F26" w14:textId="77777777" w:rsidR="00521B5E" w:rsidRDefault="001A17D5">
            <w:pPr>
              <w:pStyle w:val="TableParagraph"/>
              <w:spacing w:line="201" w:lineRule="exact"/>
              <w:ind w:right="36"/>
              <w:jc w:val="right"/>
              <w:rPr>
                <w:sz w:val="18"/>
              </w:rPr>
            </w:pPr>
            <w:r>
              <w:rPr>
                <w:color w:val="000104"/>
                <w:spacing w:val="-2"/>
                <w:sz w:val="18"/>
              </w:rPr>
              <w:t>6.238</w:t>
            </w:r>
          </w:p>
        </w:tc>
        <w:tc>
          <w:tcPr>
            <w:tcW w:w="484" w:type="dxa"/>
          </w:tcPr>
          <w:p w14:paraId="578B0F17" w14:textId="77777777" w:rsidR="00521B5E" w:rsidRDefault="001A17D5">
            <w:pPr>
              <w:pStyle w:val="TableParagraph"/>
              <w:spacing w:line="201" w:lineRule="exact"/>
              <w:ind w:left="34"/>
              <w:jc w:val="center"/>
              <w:rPr>
                <w:sz w:val="18"/>
              </w:rPr>
            </w:pPr>
            <w:r>
              <w:rPr>
                <w:color w:val="000104"/>
                <w:spacing w:val="-4"/>
                <w:sz w:val="18"/>
              </w:rPr>
              <w:t>.000</w:t>
            </w:r>
          </w:p>
        </w:tc>
      </w:tr>
      <w:tr w:rsidR="00521B5E" w14:paraId="108DE892" w14:textId="77777777">
        <w:trPr>
          <w:trHeight w:val="206"/>
        </w:trPr>
        <w:tc>
          <w:tcPr>
            <w:tcW w:w="230" w:type="dxa"/>
            <w:vMerge/>
            <w:tcBorders>
              <w:top w:val="nil"/>
            </w:tcBorders>
          </w:tcPr>
          <w:p w14:paraId="7375683A" w14:textId="77777777" w:rsidR="00521B5E" w:rsidRDefault="00521B5E">
            <w:pPr>
              <w:rPr>
                <w:sz w:val="2"/>
                <w:szCs w:val="2"/>
              </w:rPr>
            </w:pPr>
          </w:p>
        </w:tc>
        <w:tc>
          <w:tcPr>
            <w:tcW w:w="1949" w:type="dxa"/>
          </w:tcPr>
          <w:p w14:paraId="7A2C802A" w14:textId="77777777" w:rsidR="00521B5E" w:rsidRDefault="001A17D5">
            <w:pPr>
              <w:pStyle w:val="TableParagraph"/>
              <w:ind w:left="67"/>
              <w:rPr>
                <w:sz w:val="18"/>
              </w:rPr>
            </w:pPr>
            <w:r>
              <w:rPr>
                <w:color w:val="25495F"/>
                <w:spacing w:val="-2"/>
                <w:sz w:val="18"/>
              </w:rPr>
              <w:t>Institutional</w:t>
            </w:r>
            <w:r>
              <w:rPr>
                <w:color w:val="25495F"/>
                <w:spacing w:val="13"/>
                <w:sz w:val="18"/>
              </w:rPr>
              <w:t xml:space="preserve"> </w:t>
            </w:r>
            <w:r>
              <w:rPr>
                <w:color w:val="25495F"/>
                <w:spacing w:val="-2"/>
                <w:sz w:val="18"/>
              </w:rPr>
              <w:t>Ownership</w:t>
            </w:r>
          </w:p>
        </w:tc>
        <w:tc>
          <w:tcPr>
            <w:tcW w:w="1075" w:type="dxa"/>
          </w:tcPr>
          <w:p w14:paraId="183DB848" w14:textId="77777777" w:rsidR="00521B5E" w:rsidRDefault="001A17D5">
            <w:pPr>
              <w:pStyle w:val="TableParagraph"/>
              <w:ind w:right="43"/>
              <w:jc w:val="right"/>
              <w:rPr>
                <w:sz w:val="18"/>
              </w:rPr>
            </w:pPr>
            <w:r>
              <w:rPr>
                <w:color w:val="000104"/>
                <w:spacing w:val="-4"/>
                <w:sz w:val="18"/>
              </w:rPr>
              <w:t>.365</w:t>
            </w:r>
          </w:p>
        </w:tc>
        <w:tc>
          <w:tcPr>
            <w:tcW w:w="1310" w:type="dxa"/>
          </w:tcPr>
          <w:p w14:paraId="12D360B9" w14:textId="77777777" w:rsidR="00521B5E" w:rsidRDefault="001A17D5">
            <w:pPr>
              <w:pStyle w:val="TableParagraph"/>
              <w:ind w:right="47"/>
              <w:jc w:val="right"/>
              <w:rPr>
                <w:sz w:val="18"/>
              </w:rPr>
            </w:pPr>
            <w:r>
              <w:rPr>
                <w:color w:val="000104"/>
                <w:spacing w:val="-4"/>
                <w:sz w:val="18"/>
              </w:rPr>
              <w:t>.092</w:t>
            </w:r>
          </w:p>
        </w:tc>
        <w:tc>
          <w:tcPr>
            <w:tcW w:w="2179" w:type="dxa"/>
          </w:tcPr>
          <w:p w14:paraId="52326662" w14:textId="77777777" w:rsidR="00521B5E" w:rsidRDefault="001A17D5">
            <w:pPr>
              <w:pStyle w:val="TableParagraph"/>
              <w:ind w:right="41"/>
              <w:jc w:val="right"/>
              <w:rPr>
                <w:sz w:val="18"/>
              </w:rPr>
            </w:pPr>
            <w:r>
              <w:rPr>
                <w:color w:val="000104"/>
                <w:spacing w:val="-4"/>
                <w:sz w:val="18"/>
              </w:rPr>
              <w:t>.352</w:t>
            </w:r>
          </w:p>
        </w:tc>
        <w:tc>
          <w:tcPr>
            <w:tcW w:w="580" w:type="dxa"/>
          </w:tcPr>
          <w:p w14:paraId="728E9AE2" w14:textId="77777777" w:rsidR="00521B5E" w:rsidRDefault="001A17D5">
            <w:pPr>
              <w:pStyle w:val="TableParagraph"/>
              <w:ind w:right="36"/>
              <w:jc w:val="right"/>
              <w:rPr>
                <w:sz w:val="18"/>
              </w:rPr>
            </w:pPr>
            <w:r>
              <w:rPr>
                <w:color w:val="000104"/>
                <w:spacing w:val="-2"/>
                <w:sz w:val="18"/>
              </w:rPr>
              <w:t>3.974</w:t>
            </w:r>
          </w:p>
        </w:tc>
        <w:tc>
          <w:tcPr>
            <w:tcW w:w="484" w:type="dxa"/>
          </w:tcPr>
          <w:p w14:paraId="63D8D5C6" w14:textId="77777777" w:rsidR="00521B5E" w:rsidRDefault="001A17D5">
            <w:pPr>
              <w:pStyle w:val="TableParagraph"/>
              <w:ind w:left="34"/>
              <w:jc w:val="center"/>
              <w:rPr>
                <w:sz w:val="18"/>
              </w:rPr>
            </w:pPr>
            <w:r>
              <w:rPr>
                <w:color w:val="000104"/>
                <w:spacing w:val="-4"/>
                <w:sz w:val="18"/>
              </w:rPr>
              <w:t>.000</w:t>
            </w:r>
          </w:p>
        </w:tc>
      </w:tr>
      <w:tr w:rsidR="00521B5E" w14:paraId="7031A977" w14:textId="77777777">
        <w:trPr>
          <w:trHeight w:val="205"/>
        </w:trPr>
        <w:tc>
          <w:tcPr>
            <w:tcW w:w="230" w:type="dxa"/>
            <w:vMerge/>
            <w:tcBorders>
              <w:top w:val="nil"/>
            </w:tcBorders>
          </w:tcPr>
          <w:p w14:paraId="2F1FE223" w14:textId="77777777" w:rsidR="00521B5E" w:rsidRDefault="00521B5E">
            <w:pPr>
              <w:rPr>
                <w:sz w:val="2"/>
                <w:szCs w:val="2"/>
              </w:rPr>
            </w:pPr>
          </w:p>
        </w:tc>
        <w:tc>
          <w:tcPr>
            <w:tcW w:w="1949" w:type="dxa"/>
          </w:tcPr>
          <w:p w14:paraId="75331BEC" w14:textId="77777777" w:rsidR="00521B5E" w:rsidRDefault="001A17D5">
            <w:pPr>
              <w:pStyle w:val="TableParagraph"/>
              <w:ind w:left="67"/>
              <w:rPr>
                <w:sz w:val="18"/>
              </w:rPr>
            </w:pPr>
            <w:r>
              <w:rPr>
                <w:color w:val="25495F"/>
                <w:sz w:val="18"/>
              </w:rPr>
              <w:t>Dividend</w:t>
            </w:r>
            <w:r>
              <w:rPr>
                <w:color w:val="25495F"/>
                <w:spacing w:val="-3"/>
                <w:sz w:val="18"/>
              </w:rPr>
              <w:t xml:space="preserve"> </w:t>
            </w:r>
            <w:r>
              <w:rPr>
                <w:color w:val="25495F"/>
                <w:sz w:val="18"/>
              </w:rPr>
              <w:t>Payout</w:t>
            </w:r>
            <w:r>
              <w:rPr>
                <w:color w:val="25495F"/>
                <w:spacing w:val="-6"/>
                <w:sz w:val="18"/>
              </w:rPr>
              <w:t xml:space="preserve"> </w:t>
            </w:r>
            <w:r>
              <w:rPr>
                <w:color w:val="25495F"/>
                <w:spacing w:val="-4"/>
                <w:sz w:val="18"/>
              </w:rPr>
              <w:t>Ratio</w:t>
            </w:r>
          </w:p>
        </w:tc>
        <w:tc>
          <w:tcPr>
            <w:tcW w:w="1075" w:type="dxa"/>
          </w:tcPr>
          <w:p w14:paraId="44C32A50" w14:textId="77777777" w:rsidR="00521B5E" w:rsidRDefault="001A17D5">
            <w:pPr>
              <w:pStyle w:val="TableParagraph"/>
              <w:ind w:right="43"/>
              <w:jc w:val="right"/>
              <w:rPr>
                <w:sz w:val="18"/>
              </w:rPr>
            </w:pPr>
            <w:r>
              <w:rPr>
                <w:color w:val="000104"/>
                <w:spacing w:val="-4"/>
                <w:sz w:val="18"/>
              </w:rPr>
              <w:t>.132</w:t>
            </w:r>
          </w:p>
        </w:tc>
        <w:tc>
          <w:tcPr>
            <w:tcW w:w="1310" w:type="dxa"/>
          </w:tcPr>
          <w:p w14:paraId="0E3B2964" w14:textId="77777777" w:rsidR="00521B5E" w:rsidRDefault="001A17D5">
            <w:pPr>
              <w:pStyle w:val="TableParagraph"/>
              <w:ind w:right="47"/>
              <w:jc w:val="right"/>
              <w:rPr>
                <w:sz w:val="18"/>
              </w:rPr>
            </w:pPr>
            <w:r>
              <w:rPr>
                <w:color w:val="000104"/>
                <w:spacing w:val="-4"/>
                <w:sz w:val="18"/>
              </w:rPr>
              <w:t>.065</w:t>
            </w:r>
          </w:p>
        </w:tc>
        <w:tc>
          <w:tcPr>
            <w:tcW w:w="2179" w:type="dxa"/>
          </w:tcPr>
          <w:p w14:paraId="0EAF8B24" w14:textId="77777777" w:rsidR="00521B5E" w:rsidRDefault="001A17D5">
            <w:pPr>
              <w:pStyle w:val="TableParagraph"/>
              <w:ind w:right="41"/>
              <w:jc w:val="right"/>
              <w:rPr>
                <w:sz w:val="18"/>
              </w:rPr>
            </w:pPr>
            <w:r>
              <w:rPr>
                <w:color w:val="000104"/>
                <w:spacing w:val="-4"/>
                <w:sz w:val="18"/>
              </w:rPr>
              <w:t>.181</w:t>
            </w:r>
          </w:p>
        </w:tc>
        <w:tc>
          <w:tcPr>
            <w:tcW w:w="580" w:type="dxa"/>
          </w:tcPr>
          <w:p w14:paraId="7F79A530" w14:textId="77777777" w:rsidR="00521B5E" w:rsidRDefault="001A17D5">
            <w:pPr>
              <w:pStyle w:val="TableParagraph"/>
              <w:ind w:right="36"/>
              <w:jc w:val="right"/>
              <w:rPr>
                <w:sz w:val="18"/>
              </w:rPr>
            </w:pPr>
            <w:r>
              <w:rPr>
                <w:color w:val="000104"/>
                <w:spacing w:val="-2"/>
                <w:sz w:val="18"/>
              </w:rPr>
              <w:t>2.039</w:t>
            </w:r>
          </w:p>
        </w:tc>
        <w:tc>
          <w:tcPr>
            <w:tcW w:w="484" w:type="dxa"/>
          </w:tcPr>
          <w:p w14:paraId="78C31CB8" w14:textId="77777777" w:rsidR="00521B5E" w:rsidRDefault="001A17D5">
            <w:pPr>
              <w:pStyle w:val="TableParagraph"/>
              <w:ind w:left="34"/>
              <w:jc w:val="center"/>
              <w:rPr>
                <w:sz w:val="18"/>
              </w:rPr>
            </w:pPr>
            <w:r>
              <w:rPr>
                <w:color w:val="000104"/>
                <w:spacing w:val="-4"/>
                <w:sz w:val="18"/>
              </w:rPr>
              <w:t>.044</w:t>
            </w:r>
          </w:p>
        </w:tc>
      </w:tr>
      <w:tr w:rsidR="00521B5E" w14:paraId="3353F246" w14:textId="77777777">
        <w:trPr>
          <w:trHeight w:val="206"/>
        </w:trPr>
        <w:tc>
          <w:tcPr>
            <w:tcW w:w="230" w:type="dxa"/>
            <w:vMerge/>
            <w:tcBorders>
              <w:top w:val="nil"/>
            </w:tcBorders>
          </w:tcPr>
          <w:p w14:paraId="3C3F265A" w14:textId="77777777" w:rsidR="00521B5E" w:rsidRDefault="00521B5E">
            <w:pPr>
              <w:rPr>
                <w:sz w:val="2"/>
                <w:szCs w:val="2"/>
              </w:rPr>
            </w:pPr>
          </w:p>
        </w:tc>
        <w:tc>
          <w:tcPr>
            <w:tcW w:w="1949" w:type="dxa"/>
          </w:tcPr>
          <w:p w14:paraId="5DAF28BB" w14:textId="77777777" w:rsidR="00521B5E" w:rsidRDefault="001A17D5">
            <w:pPr>
              <w:pStyle w:val="TableParagraph"/>
              <w:ind w:left="67"/>
              <w:rPr>
                <w:sz w:val="18"/>
              </w:rPr>
            </w:pPr>
            <w:r>
              <w:rPr>
                <w:color w:val="25495F"/>
                <w:sz w:val="18"/>
              </w:rPr>
              <w:t>Capital</w:t>
            </w:r>
            <w:r>
              <w:rPr>
                <w:color w:val="25495F"/>
                <w:spacing w:val="-4"/>
                <w:sz w:val="18"/>
              </w:rPr>
              <w:t xml:space="preserve"> </w:t>
            </w:r>
            <w:r>
              <w:rPr>
                <w:color w:val="25495F"/>
                <w:sz w:val="18"/>
              </w:rPr>
              <w:t>Intensity</w:t>
            </w:r>
            <w:r>
              <w:rPr>
                <w:color w:val="25495F"/>
                <w:spacing w:val="-6"/>
                <w:sz w:val="18"/>
              </w:rPr>
              <w:t xml:space="preserve"> </w:t>
            </w:r>
            <w:r>
              <w:rPr>
                <w:color w:val="25495F"/>
                <w:spacing w:val="-4"/>
                <w:sz w:val="18"/>
              </w:rPr>
              <w:t>Ratio</w:t>
            </w:r>
          </w:p>
        </w:tc>
        <w:tc>
          <w:tcPr>
            <w:tcW w:w="1075" w:type="dxa"/>
          </w:tcPr>
          <w:p w14:paraId="23BA6634" w14:textId="77777777" w:rsidR="00521B5E" w:rsidRDefault="001A17D5">
            <w:pPr>
              <w:pStyle w:val="TableParagraph"/>
              <w:ind w:right="43"/>
              <w:jc w:val="right"/>
              <w:rPr>
                <w:sz w:val="18"/>
              </w:rPr>
            </w:pPr>
            <w:r>
              <w:rPr>
                <w:color w:val="000104"/>
                <w:spacing w:val="-4"/>
                <w:sz w:val="18"/>
              </w:rPr>
              <w:t>.047</w:t>
            </w:r>
          </w:p>
        </w:tc>
        <w:tc>
          <w:tcPr>
            <w:tcW w:w="1310" w:type="dxa"/>
          </w:tcPr>
          <w:p w14:paraId="40EF8B51" w14:textId="77777777" w:rsidR="00521B5E" w:rsidRDefault="001A17D5">
            <w:pPr>
              <w:pStyle w:val="TableParagraph"/>
              <w:ind w:right="47"/>
              <w:jc w:val="right"/>
              <w:rPr>
                <w:sz w:val="18"/>
              </w:rPr>
            </w:pPr>
            <w:r>
              <w:rPr>
                <w:color w:val="000104"/>
                <w:spacing w:val="-4"/>
                <w:sz w:val="18"/>
              </w:rPr>
              <w:t>.059</w:t>
            </w:r>
          </w:p>
        </w:tc>
        <w:tc>
          <w:tcPr>
            <w:tcW w:w="2179" w:type="dxa"/>
          </w:tcPr>
          <w:p w14:paraId="40C085A2" w14:textId="77777777" w:rsidR="00521B5E" w:rsidRDefault="001A17D5">
            <w:pPr>
              <w:pStyle w:val="TableParagraph"/>
              <w:ind w:right="41"/>
              <w:jc w:val="right"/>
              <w:rPr>
                <w:sz w:val="18"/>
              </w:rPr>
            </w:pPr>
            <w:r>
              <w:rPr>
                <w:color w:val="000104"/>
                <w:spacing w:val="-4"/>
                <w:sz w:val="18"/>
              </w:rPr>
              <w:t>.070</w:t>
            </w:r>
          </w:p>
        </w:tc>
        <w:tc>
          <w:tcPr>
            <w:tcW w:w="580" w:type="dxa"/>
          </w:tcPr>
          <w:p w14:paraId="34D35E36" w14:textId="77777777" w:rsidR="00521B5E" w:rsidRDefault="001A17D5">
            <w:pPr>
              <w:pStyle w:val="TableParagraph"/>
              <w:ind w:right="41"/>
              <w:jc w:val="right"/>
              <w:rPr>
                <w:sz w:val="18"/>
              </w:rPr>
            </w:pPr>
            <w:r>
              <w:rPr>
                <w:color w:val="000104"/>
                <w:spacing w:val="-4"/>
                <w:sz w:val="18"/>
              </w:rPr>
              <w:t>.794</w:t>
            </w:r>
          </w:p>
        </w:tc>
        <w:tc>
          <w:tcPr>
            <w:tcW w:w="484" w:type="dxa"/>
          </w:tcPr>
          <w:p w14:paraId="2BD20699" w14:textId="77777777" w:rsidR="00521B5E" w:rsidRDefault="001A17D5">
            <w:pPr>
              <w:pStyle w:val="TableParagraph"/>
              <w:ind w:left="34"/>
              <w:jc w:val="center"/>
              <w:rPr>
                <w:sz w:val="18"/>
              </w:rPr>
            </w:pPr>
            <w:r>
              <w:rPr>
                <w:color w:val="000104"/>
                <w:spacing w:val="-4"/>
                <w:sz w:val="18"/>
              </w:rPr>
              <w:t>.429</w:t>
            </w:r>
          </w:p>
        </w:tc>
      </w:tr>
      <w:tr w:rsidR="00521B5E" w14:paraId="3EF79B43" w14:textId="77777777">
        <w:trPr>
          <w:trHeight w:val="210"/>
        </w:trPr>
        <w:tc>
          <w:tcPr>
            <w:tcW w:w="7807" w:type="dxa"/>
            <w:gridSpan w:val="7"/>
          </w:tcPr>
          <w:p w14:paraId="36824757" w14:textId="77777777" w:rsidR="00521B5E" w:rsidRDefault="001A17D5">
            <w:pPr>
              <w:pStyle w:val="TableParagraph"/>
              <w:spacing w:line="191" w:lineRule="exact"/>
              <w:ind w:left="66"/>
              <w:rPr>
                <w:sz w:val="18"/>
              </w:rPr>
            </w:pPr>
            <w:r>
              <w:rPr>
                <w:color w:val="000104"/>
                <w:sz w:val="18"/>
              </w:rPr>
              <w:t>a.</w:t>
            </w:r>
            <w:r>
              <w:rPr>
                <w:color w:val="000104"/>
                <w:spacing w:val="-3"/>
                <w:sz w:val="18"/>
              </w:rPr>
              <w:t xml:space="preserve"> </w:t>
            </w:r>
            <w:r>
              <w:rPr>
                <w:color w:val="000104"/>
                <w:sz w:val="18"/>
              </w:rPr>
              <w:t>Dependent</w:t>
            </w:r>
            <w:r>
              <w:rPr>
                <w:color w:val="000104"/>
                <w:spacing w:val="-2"/>
                <w:sz w:val="18"/>
              </w:rPr>
              <w:t xml:space="preserve"> </w:t>
            </w:r>
            <w:r>
              <w:rPr>
                <w:color w:val="000104"/>
                <w:sz w:val="18"/>
              </w:rPr>
              <w:t>Variable:</w:t>
            </w:r>
            <w:r>
              <w:rPr>
                <w:color w:val="000104"/>
                <w:spacing w:val="-2"/>
                <w:sz w:val="18"/>
              </w:rPr>
              <w:t xml:space="preserve"> </w:t>
            </w:r>
            <w:r>
              <w:rPr>
                <w:color w:val="000104"/>
                <w:sz w:val="18"/>
              </w:rPr>
              <w:t>Effective</w:t>
            </w:r>
            <w:r>
              <w:rPr>
                <w:color w:val="000104"/>
                <w:spacing w:val="-9"/>
                <w:sz w:val="18"/>
              </w:rPr>
              <w:t xml:space="preserve"> </w:t>
            </w:r>
            <w:r>
              <w:rPr>
                <w:color w:val="000104"/>
                <w:sz w:val="18"/>
              </w:rPr>
              <w:t>Tax</w:t>
            </w:r>
            <w:r>
              <w:rPr>
                <w:color w:val="000104"/>
                <w:spacing w:val="-8"/>
                <w:sz w:val="18"/>
              </w:rPr>
              <w:t xml:space="preserve"> </w:t>
            </w:r>
            <w:r>
              <w:rPr>
                <w:color w:val="000104"/>
                <w:spacing w:val="-4"/>
                <w:sz w:val="18"/>
              </w:rPr>
              <w:t>Rate</w:t>
            </w:r>
          </w:p>
        </w:tc>
      </w:tr>
    </w:tbl>
    <w:p w14:paraId="3C0C3E32" w14:textId="77777777" w:rsidR="00521B5E" w:rsidRDefault="001A17D5">
      <w:pPr>
        <w:pStyle w:val="BodyText"/>
        <w:ind w:left="760"/>
      </w:pPr>
      <w:r>
        <w:t>(Source:</w:t>
      </w:r>
      <w:r>
        <w:rPr>
          <w:spacing w:val="38"/>
        </w:rPr>
        <w:t xml:space="preserve"> </w:t>
      </w:r>
      <w:r>
        <w:t>data</w:t>
      </w:r>
      <w:r>
        <w:rPr>
          <w:spacing w:val="-7"/>
        </w:rPr>
        <w:t xml:space="preserve"> </w:t>
      </w:r>
      <w:r>
        <w:t>processing</w:t>
      </w:r>
      <w:r>
        <w:rPr>
          <w:spacing w:val="-9"/>
        </w:rPr>
        <w:t xml:space="preserve"> </w:t>
      </w:r>
      <w:r>
        <w:t>result,</w:t>
      </w:r>
      <w:r>
        <w:rPr>
          <w:spacing w:val="-6"/>
        </w:rPr>
        <w:t xml:space="preserve"> </w:t>
      </w:r>
      <w:r>
        <w:rPr>
          <w:spacing w:val="-4"/>
        </w:rPr>
        <w:t>2025)</w:t>
      </w:r>
    </w:p>
    <w:p w14:paraId="3CBACA5F" w14:textId="77777777" w:rsidR="00521B5E" w:rsidRDefault="00521B5E">
      <w:pPr>
        <w:pStyle w:val="BodyText"/>
        <w:spacing w:before="1"/>
      </w:pPr>
    </w:p>
    <w:p w14:paraId="64F27FEB" w14:textId="77777777" w:rsidR="00521B5E" w:rsidRDefault="001A17D5">
      <w:pPr>
        <w:pStyle w:val="Heading1"/>
        <w:spacing w:line="240" w:lineRule="auto"/>
        <w:ind w:left="19" w:right="19"/>
        <w:rPr>
          <w:sz w:val="13"/>
        </w:rPr>
      </w:pPr>
      <w:r>
        <w:rPr>
          <w:position w:val="1"/>
        </w:rPr>
        <w:t>Y</w:t>
      </w:r>
      <w:r>
        <w:rPr>
          <w:spacing w:val="-1"/>
          <w:position w:val="1"/>
        </w:rPr>
        <w:t xml:space="preserve"> </w:t>
      </w:r>
      <w:r>
        <w:rPr>
          <w:position w:val="1"/>
        </w:rPr>
        <w:t>=</w:t>
      </w:r>
      <w:r>
        <w:rPr>
          <w:spacing w:val="-3"/>
          <w:position w:val="1"/>
        </w:rPr>
        <w:t xml:space="preserve"> </w:t>
      </w:r>
      <w:r>
        <w:rPr>
          <w:position w:val="1"/>
        </w:rPr>
        <w:t>50,049</w:t>
      </w:r>
      <w:r>
        <w:rPr>
          <w:spacing w:val="-5"/>
          <w:position w:val="1"/>
        </w:rPr>
        <w:t xml:space="preserve"> </w:t>
      </w:r>
      <w:r>
        <w:rPr>
          <w:position w:val="1"/>
        </w:rPr>
        <w:t>+</w:t>
      </w:r>
      <w:r>
        <w:rPr>
          <w:spacing w:val="1"/>
          <w:position w:val="1"/>
        </w:rPr>
        <w:t xml:space="preserve"> </w:t>
      </w:r>
      <w:r>
        <w:rPr>
          <w:position w:val="1"/>
        </w:rPr>
        <w:t>0,365</w:t>
      </w:r>
      <w:r>
        <w:rPr>
          <w:spacing w:val="-4"/>
          <w:position w:val="1"/>
        </w:rPr>
        <w:t xml:space="preserve"> </w:t>
      </w:r>
      <w:r>
        <w:rPr>
          <w:position w:val="1"/>
        </w:rPr>
        <w:t>b</w:t>
      </w:r>
      <w:r>
        <w:rPr>
          <w:sz w:val="13"/>
        </w:rPr>
        <w:t>1</w:t>
      </w:r>
      <w:r>
        <w:rPr>
          <w:spacing w:val="15"/>
          <w:sz w:val="13"/>
        </w:rPr>
        <w:t xml:space="preserve"> </w:t>
      </w:r>
      <w:r>
        <w:rPr>
          <w:position w:val="1"/>
        </w:rPr>
        <w:t>+</w:t>
      </w:r>
      <w:r>
        <w:rPr>
          <w:spacing w:val="-3"/>
          <w:position w:val="1"/>
        </w:rPr>
        <w:t xml:space="preserve"> </w:t>
      </w:r>
      <w:r>
        <w:rPr>
          <w:position w:val="1"/>
        </w:rPr>
        <w:t>0,132</w:t>
      </w:r>
      <w:r>
        <w:rPr>
          <w:spacing w:val="-4"/>
          <w:position w:val="1"/>
        </w:rPr>
        <w:t xml:space="preserve"> </w:t>
      </w:r>
      <w:r>
        <w:rPr>
          <w:position w:val="1"/>
        </w:rPr>
        <w:t>b</w:t>
      </w:r>
      <w:r>
        <w:rPr>
          <w:sz w:val="13"/>
        </w:rPr>
        <w:t>2</w:t>
      </w:r>
      <w:r>
        <w:rPr>
          <w:spacing w:val="2"/>
          <w:sz w:val="13"/>
        </w:rPr>
        <w:t xml:space="preserve"> </w:t>
      </w:r>
      <w:r>
        <w:rPr>
          <w:position w:val="1"/>
        </w:rPr>
        <w:t>+</w:t>
      </w:r>
      <w:r>
        <w:rPr>
          <w:spacing w:val="-3"/>
          <w:position w:val="1"/>
        </w:rPr>
        <w:t xml:space="preserve"> </w:t>
      </w:r>
      <w:r>
        <w:rPr>
          <w:position w:val="1"/>
        </w:rPr>
        <w:t>0,047</w:t>
      </w:r>
      <w:r>
        <w:rPr>
          <w:spacing w:val="-5"/>
          <w:position w:val="1"/>
        </w:rPr>
        <w:t xml:space="preserve"> b</w:t>
      </w:r>
      <w:r>
        <w:rPr>
          <w:spacing w:val="-5"/>
          <w:sz w:val="13"/>
        </w:rPr>
        <w:t>3</w:t>
      </w:r>
    </w:p>
    <w:p w14:paraId="4622394E" w14:textId="77777777" w:rsidR="00521B5E" w:rsidRDefault="00521B5E">
      <w:pPr>
        <w:pStyle w:val="BodyText"/>
        <w:spacing w:before="44"/>
        <w:rPr>
          <w:b/>
        </w:rPr>
      </w:pPr>
    </w:p>
    <w:p w14:paraId="29FD447F" w14:textId="77777777" w:rsidR="00521B5E" w:rsidRDefault="001A17D5">
      <w:pPr>
        <w:pStyle w:val="BodyText"/>
        <w:ind w:left="140" w:right="128" w:firstLine="283"/>
        <w:jc w:val="both"/>
      </w:pPr>
      <w:r>
        <w:t>The multiple linear regression analysis results show that the Institutional Ownership variable has a coefficient of 0.365 with a significance value 0.000. This shows institutional ownership positively and significantly affects</w:t>
      </w:r>
      <w:r>
        <w:rPr>
          <w:spacing w:val="13"/>
        </w:rPr>
        <w:t xml:space="preserve"> </w:t>
      </w:r>
      <w:r>
        <w:t>the Effective Tax Rate (ETR). This means that the greater</w:t>
      </w:r>
      <w:r>
        <w:rPr>
          <w:spacing w:val="12"/>
        </w:rPr>
        <w:t xml:space="preserve"> </w:t>
      </w:r>
      <w:r>
        <w:t>the institutional</w:t>
      </w:r>
      <w:r>
        <w:rPr>
          <w:spacing w:val="13"/>
        </w:rPr>
        <w:t xml:space="preserve"> </w:t>
      </w:r>
      <w:r>
        <w:t>ownership in</w:t>
      </w:r>
      <w:r>
        <w:rPr>
          <w:spacing w:val="40"/>
        </w:rPr>
        <w:t xml:space="preserve"> </w:t>
      </w:r>
      <w:r>
        <w:t>a company, the higher the effective tax rate paid. This can be caused by institutions' tendency to encourage companies to comply more with tax obligations. Based on the results of the partial test (t-test), it can be interpreted that the ownership structure, as measured by institutional ownership, significantly influences tax planning (corporate tax planning). This is indicated by a significance value of 0.000, much smaller than the significance level of 0.05, and a t-value of 3.974, which means the strength of the statistical influence. This finding shows that institutional shareholders in the company's ownership structure play a vital role in</w:t>
      </w:r>
      <w:r>
        <w:rPr>
          <w:spacing w:val="80"/>
        </w:rPr>
        <w:t xml:space="preserve"> </w:t>
      </w:r>
      <w:r>
        <w:t>strategic decision-making, including the efficiency of tax burden management. The greater the institutional ownership, the stronger the management supervision regarding tax compliance and strategy. In other words, institutional ownership tends to encourage companies to be more active and effective in planning taxes to optimize the tax burden that must be borne. The study results showing that institutional ownership significantly influences tax planning can also be explained through signaling theory. In this context, institutional ownership can be a positive signal regarding the quality of corporate governance, including tax planning. Institutional investors, such as pension funds, insurance companies, and mutual funds, typically have the knowledge, experience, and</w:t>
      </w:r>
      <w:r>
        <w:rPr>
          <w:spacing w:val="-6"/>
        </w:rPr>
        <w:t xml:space="preserve"> </w:t>
      </w:r>
      <w:r>
        <w:t>resources to</w:t>
      </w:r>
      <w:r>
        <w:rPr>
          <w:spacing w:val="-1"/>
        </w:rPr>
        <w:t xml:space="preserve"> </w:t>
      </w:r>
      <w:r>
        <w:t>monitor management performance more</w:t>
      </w:r>
      <w:r>
        <w:rPr>
          <w:spacing w:val="-4"/>
        </w:rPr>
        <w:t xml:space="preserve"> </w:t>
      </w:r>
      <w:r>
        <w:t>intensively. When a company</w:t>
      </w:r>
      <w:r>
        <w:rPr>
          <w:spacing w:val="-8"/>
        </w:rPr>
        <w:t xml:space="preserve"> </w:t>
      </w:r>
      <w:r>
        <w:t>has a</w:t>
      </w:r>
      <w:r>
        <w:rPr>
          <w:spacing w:val="-1"/>
        </w:rPr>
        <w:t xml:space="preserve"> </w:t>
      </w:r>
      <w:r>
        <w:t>high level of institutional ownership, it signals to the</w:t>
      </w:r>
      <w:r>
        <w:rPr>
          <w:spacing w:val="-6"/>
        </w:rPr>
        <w:t xml:space="preserve"> </w:t>
      </w:r>
      <w:r>
        <w:t>market</w:t>
      </w:r>
      <w:r>
        <w:rPr>
          <w:spacing w:val="-1"/>
        </w:rPr>
        <w:t xml:space="preserve"> </w:t>
      </w:r>
      <w:r>
        <w:t>that it</w:t>
      </w:r>
      <w:r>
        <w:rPr>
          <w:spacing w:val="-1"/>
        </w:rPr>
        <w:t xml:space="preserve"> </w:t>
      </w:r>
      <w:r>
        <w:t>is closely</w:t>
      </w:r>
      <w:r>
        <w:rPr>
          <w:spacing w:val="-3"/>
        </w:rPr>
        <w:t xml:space="preserve"> </w:t>
      </w:r>
      <w:r>
        <w:t>monitored and professionally</w:t>
      </w:r>
      <w:r>
        <w:rPr>
          <w:spacing w:val="-4"/>
        </w:rPr>
        <w:t xml:space="preserve"> </w:t>
      </w:r>
      <w:r>
        <w:t>managed, including</w:t>
      </w:r>
      <w:r>
        <w:rPr>
          <w:spacing w:val="-4"/>
        </w:rPr>
        <w:t xml:space="preserve"> </w:t>
      </w:r>
      <w:r>
        <w:t>tax compliance and efficiency. Tax planning carried out effectively</w:t>
      </w:r>
      <w:r>
        <w:rPr>
          <w:spacing w:val="-4"/>
        </w:rPr>
        <w:t xml:space="preserve"> </w:t>
      </w:r>
      <w:r>
        <w:t>and in accordance</w:t>
      </w:r>
      <w:r>
        <w:rPr>
          <w:spacing w:val="-1"/>
        </w:rPr>
        <w:t xml:space="preserve"> </w:t>
      </w:r>
      <w:r>
        <w:t>with legal provisions signals that</w:t>
      </w:r>
      <w:r>
        <w:rPr>
          <w:spacing w:val="-1"/>
        </w:rPr>
        <w:t xml:space="preserve"> </w:t>
      </w:r>
      <w:r>
        <w:t>the</w:t>
      </w:r>
      <w:r>
        <w:rPr>
          <w:spacing w:val="-1"/>
        </w:rPr>
        <w:t xml:space="preserve"> </w:t>
      </w:r>
      <w:r>
        <w:t>company</w:t>
      </w:r>
      <w:r>
        <w:rPr>
          <w:spacing w:val="-8"/>
        </w:rPr>
        <w:t xml:space="preserve"> </w:t>
      </w:r>
      <w:r>
        <w:t>has a</w:t>
      </w:r>
      <w:r>
        <w:rPr>
          <w:spacing w:val="-1"/>
        </w:rPr>
        <w:t xml:space="preserve"> </w:t>
      </w:r>
      <w:r>
        <w:t>healthy</w:t>
      </w:r>
      <w:r>
        <w:rPr>
          <w:spacing w:val="-8"/>
        </w:rPr>
        <w:t xml:space="preserve"> </w:t>
      </w:r>
      <w:r>
        <w:t>financial</w:t>
      </w:r>
      <w:r>
        <w:rPr>
          <w:spacing w:val="-6"/>
        </w:rPr>
        <w:t xml:space="preserve"> </w:t>
      </w:r>
      <w:r>
        <w:t>management</w:t>
      </w:r>
      <w:r>
        <w:rPr>
          <w:spacing w:val="-1"/>
        </w:rPr>
        <w:t xml:space="preserve"> </w:t>
      </w:r>
      <w:r>
        <w:t>strategy</w:t>
      </w:r>
      <w:r>
        <w:rPr>
          <w:spacing w:val="-8"/>
        </w:rPr>
        <w:t xml:space="preserve"> </w:t>
      </w:r>
      <w:r>
        <w:t>and</w:t>
      </w:r>
      <w:r>
        <w:rPr>
          <w:spacing w:val="-3"/>
        </w:rPr>
        <w:t xml:space="preserve"> </w:t>
      </w:r>
      <w:r>
        <w:t>is oriented towards creating long-term value. This increases investor confidence and can positively impact the company's reputation and value in the eyes of the market.</w:t>
      </w:r>
    </w:p>
    <w:p w14:paraId="743989D6" w14:textId="77777777" w:rsidR="00521B5E" w:rsidRDefault="001A17D5">
      <w:pPr>
        <w:pStyle w:val="BodyText"/>
        <w:spacing w:before="6"/>
        <w:ind w:left="424"/>
        <w:jc w:val="both"/>
      </w:pPr>
      <w:r>
        <w:t>Furthermore,</w:t>
      </w:r>
      <w:r>
        <w:rPr>
          <w:spacing w:val="8"/>
        </w:rPr>
        <w:t xml:space="preserve"> </w:t>
      </w:r>
      <w:r>
        <w:t>the</w:t>
      </w:r>
      <w:r>
        <w:rPr>
          <w:spacing w:val="8"/>
        </w:rPr>
        <w:t xml:space="preserve"> </w:t>
      </w:r>
      <w:r>
        <w:t>Dividend</w:t>
      </w:r>
      <w:r>
        <w:rPr>
          <w:spacing w:val="11"/>
        </w:rPr>
        <w:t xml:space="preserve"> </w:t>
      </w:r>
      <w:r>
        <w:t>Payout</w:t>
      </w:r>
      <w:r>
        <w:rPr>
          <w:spacing w:val="13"/>
        </w:rPr>
        <w:t xml:space="preserve"> </w:t>
      </w:r>
      <w:r>
        <w:t>Ratio</w:t>
      </w:r>
      <w:r>
        <w:rPr>
          <w:spacing w:val="7"/>
        </w:rPr>
        <w:t xml:space="preserve"> </w:t>
      </w:r>
      <w:r>
        <w:t>variable</w:t>
      </w:r>
      <w:r>
        <w:rPr>
          <w:spacing w:val="4"/>
        </w:rPr>
        <w:t xml:space="preserve"> </w:t>
      </w:r>
      <w:r>
        <w:t>has</w:t>
      </w:r>
      <w:r>
        <w:rPr>
          <w:spacing w:val="5"/>
        </w:rPr>
        <w:t xml:space="preserve"> </w:t>
      </w:r>
      <w:r>
        <w:t>a</w:t>
      </w:r>
      <w:r>
        <w:rPr>
          <w:spacing w:val="13"/>
        </w:rPr>
        <w:t xml:space="preserve"> </w:t>
      </w:r>
      <w:r>
        <w:t>coefficient</w:t>
      </w:r>
      <w:r>
        <w:rPr>
          <w:spacing w:val="12"/>
        </w:rPr>
        <w:t xml:space="preserve"> </w:t>
      </w:r>
      <w:r>
        <w:t>of</w:t>
      </w:r>
      <w:r>
        <w:rPr>
          <w:spacing w:val="7"/>
        </w:rPr>
        <w:t xml:space="preserve"> </w:t>
      </w:r>
      <w:r>
        <w:t>0.132</w:t>
      </w:r>
      <w:r>
        <w:rPr>
          <w:spacing w:val="11"/>
        </w:rPr>
        <w:t xml:space="preserve"> </w:t>
      </w:r>
      <w:r>
        <w:t>with</w:t>
      </w:r>
      <w:r>
        <w:rPr>
          <w:spacing w:val="16"/>
        </w:rPr>
        <w:t xml:space="preserve"> </w:t>
      </w:r>
      <w:r>
        <w:t>a</w:t>
      </w:r>
      <w:r>
        <w:rPr>
          <w:spacing w:val="8"/>
        </w:rPr>
        <w:t xml:space="preserve"> </w:t>
      </w:r>
      <w:r>
        <w:t>significance</w:t>
      </w:r>
      <w:r>
        <w:rPr>
          <w:spacing w:val="8"/>
        </w:rPr>
        <w:t xml:space="preserve"> </w:t>
      </w:r>
      <w:r>
        <w:t>value</w:t>
      </w:r>
      <w:r>
        <w:rPr>
          <w:spacing w:val="8"/>
        </w:rPr>
        <w:t xml:space="preserve"> </w:t>
      </w:r>
      <w:r>
        <w:rPr>
          <w:spacing w:val="-5"/>
        </w:rPr>
        <w:t>of</w:t>
      </w:r>
    </w:p>
    <w:p w14:paraId="5E69BE71" w14:textId="77777777" w:rsidR="00521B5E" w:rsidRDefault="001A17D5">
      <w:pPr>
        <w:pStyle w:val="BodyText"/>
        <w:spacing w:before="1"/>
        <w:ind w:left="140" w:right="138"/>
        <w:jc w:val="both"/>
      </w:pPr>
      <w:r>
        <w:t>0.044. This means the dividend payout ratio also positively and significantly affects the effective tax rate. Thus,</w:t>
      </w:r>
      <w:r>
        <w:rPr>
          <w:spacing w:val="-1"/>
        </w:rPr>
        <w:t xml:space="preserve"> </w:t>
      </w:r>
      <w:r>
        <w:t>the</w:t>
      </w:r>
      <w:r>
        <w:rPr>
          <w:spacing w:val="-2"/>
        </w:rPr>
        <w:t xml:space="preserve"> </w:t>
      </w:r>
      <w:r>
        <w:t>greater the</w:t>
      </w:r>
      <w:r>
        <w:rPr>
          <w:spacing w:val="-7"/>
        </w:rPr>
        <w:t xml:space="preserve"> </w:t>
      </w:r>
      <w:r>
        <w:t>proportion of</w:t>
      </w:r>
      <w:r>
        <w:rPr>
          <w:spacing w:val="-4"/>
        </w:rPr>
        <w:t xml:space="preserve"> </w:t>
      </w:r>
      <w:r>
        <w:t>profit distributed</w:t>
      </w:r>
      <w:r>
        <w:rPr>
          <w:spacing w:val="-4"/>
        </w:rPr>
        <w:t xml:space="preserve"> </w:t>
      </w:r>
      <w:r>
        <w:t>as dividends,</w:t>
      </w:r>
      <w:r>
        <w:rPr>
          <w:spacing w:val="-1"/>
        </w:rPr>
        <w:t xml:space="preserve"> </w:t>
      </w:r>
      <w:r>
        <w:t>the</w:t>
      </w:r>
      <w:r>
        <w:rPr>
          <w:spacing w:val="-2"/>
        </w:rPr>
        <w:t xml:space="preserve"> </w:t>
      </w:r>
      <w:r>
        <w:t>greater the</w:t>
      </w:r>
      <w:r>
        <w:rPr>
          <w:spacing w:val="-7"/>
        </w:rPr>
        <w:t xml:space="preserve"> </w:t>
      </w:r>
      <w:r>
        <w:t>effective</w:t>
      </w:r>
      <w:r>
        <w:rPr>
          <w:spacing w:val="-2"/>
        </w:rPr>
        <w:t xml:space="preserve"> </w:t>
      </w:r>
      <w:r>
        <w:t>tax</w:t>
      </w:r>
      <w:r>
        <w:rPr>
          <w:spacing w:val="-4"/>
        </w:rPr>
        <w:t xml:space="preserve"> </w:t>
      </w:r>
      <w:r>
        <w:t>rate</w:t>
      </w:r>
      <w:r>
        <w:rPr>
          <w:spacing w:val="-2"/>
        </w:rPr>
        <w:t xml:space="preserve"> </w:t>
      </w:r>
      <w:r>
        <w:t>paid</w:t>
      </w:r>
      <w:r>
        <w:rPr>
          <w:spacing w:val="-4"/>
        </w:rPr>
        <w:t xml:space="preserve"> </w:t>
      </w:r>
      <w:r>
        <w:t>by</w:t>
      </w:r>
      <w:r>
        <w:rPr>
          <w:spacing w:val="-9"/>
        </w:rPr>
        <w:t xml:space="preserve"> </w:t>
      </w:r>
      <w:r>
        <w:t>the company. This</w:t>
      </w:r>
      <w:r>
        <w:rPr>
          <w:spacing w:val="-6"/>
        </w:rPr>
        <w:t xml:space="preserve"> </w:t>
      </w:r>
      <w:r>
        <w:t>may</w:t>
      </w:r>
      <w:r>
        <w:rPr>
          <w:spacing w:val="-10"/>
        </w:rPr>
        <w:t xml:space="preserve"> </w:t>
      </w:r>
      <w:r>
        <w:t>occur because</w:t>
      </w:r>
      <w:r>
        <w:rPr>
          <w:spacing w:val="-3"/>
        </w:rPr>
        <w:t xml:space="preserve"> </w:t>
      </w:r>
      <w:r>
        <w:t>companies</w:t>
      </w:r>
      <w:r>
        <w:rPr>
          <w:spacing w:val="-1"/>
        </w:rPr>
        <w:t xml:space="preserve"> </w:t>
      </w:r>
      <w:r>
        <w:t>that distribute</w:t>
      </w:r>
      <w:r>
        <w:rPr>
          <w:spacing w:val="-3"/>
        </w:rPr>
        <w:t xml:space="preserve"> </w:t>
      </w:r>
      <w:r>
        <w:t>higher dividends</w:t>
      </w:r>
      <w:r>
        <w:rPr>
          <w:spacing w:val="-6"/>
        </w:rPr>
        <w:t xml:space="preserve"> </w:t>
      </w:r>
      <w:r>
        <w:t>tend</w:t>
      </w:r>
      <w:r>
        <w:rPr>
          <w:spacing w:val="-5"/>
        </w:rPr>
        <w:t xml:space="preserve"> </w:t>
      </w:r>
      <w:r>
        <w:t>to</w:t>
      </w:r>
      <w:r>
        <w:rPr>
          <w:spacing w:val="-9"/>
        </w:rPr>
        <w:t xml:space="preserve"> </w:t>
      </w:r>
      <w:r>
        <w:t>have</w:t>
      </w:r>
      <w:r>
        <w:rPr>
          <w:spacing w:val="-3"/>
        </w:rPr>
        <w:t xml:space="preserve"> </w:t>
      </w:r>
      <w:r>
        <w:t>more</w:t>
      </w:r>
      <w:r>
        <w:rPr>
          <w:spacing w:val="-3"/>
        </w:rPr>
        <w:t xml:space="preserve"> </w:t>
      </w:r>
      <w:r>
        <w:t>stable</w:t>
      </w:r>
      <w:r>
        <w:rPr>
          <w:spacing w:val="-3"/>
        </w:rPr>
        <w:t xml:space="preserve"> </w:t>
      </w:r>
      <w:r>
        <w:t>profits</w:t>
      </w:r>
    </w:p>
    <w:p w14:paraId="19BBDDE1" w14:textId="77777777" w:rsidR="00521B5E" w:rsidRDefault="00521B5E">
      <w:pPr>
        <w:pStyle w:val="BodyText"/>
        <w:jc w:val="both"/>
        <w:sectPr w:rsidR="00521B5E">
          <w:pgSz w:w="11910" w:h="16840"/>
          <w:pgMar w:top="1920" w:right="1275" w:bottom="280" w:left="1559" w:header="368" w:footer="0" w:gutter="0"/>
          <w:cols w:space="720"/>
        </w:sectPr>
      </w:pPr>
    </w:p>
    <w:p w14:paraId="573BB8A2" w14:textId="77777777" w:rsidR="00521B5E" w:rsidRDefault="001A17D5">
      <w:pPr>
        <w:pStyle w:val="BodyText"/>
        <w:spacing w:before="52"/>
        <w:ind w:left="140" w:right="130"/>
        <w:jc w:val="both"/>
      </w:pPr>
      <w:r>
        <w:lastRenderedPageBreak/>
        <w:t>and are subject to greater taxes. Based on the</w:t>
      </w:r>
      <w:r>
        <w:rPr>
          <w:spacing w:val="-2"/>
        </w:rPr>
        <w:t xml:space="preserve"> </w:t>
      </w:r>
      <w:r>
        <w:t>results of the partial test, which shows that the dividend policy proxied by the dividend payout ratio has a significance value of 0.044 and a t value of 2.039, it can be concluded that</w:t>
      </w:r>
      <w:r>
        <w:rPr>
          <w:spacing w:val="-3"/>
        </w:rPr>
        <w:t xml:space="preserve"> </w:t>
      </w:r>
      <w:r>
        <w:t>this</w:t>
      </w:r>
      <w:r>
        <w:rPr>
          <w:spacing w:val="-1"/>
        </w:rPr>
        <w:t xml:space="preserve"> </w:t>
      </w:r>
      <w:r>
        <w:t>variable</w:t>
      </w:r>
      <w:r>
        <w:rPr>
          <w:spacing w:val="-2"/>
        </w:rPr>
        <w:t xml:space="preserve"> </w:t>
      </w:r>
      <w:r>
        <w:t>significantly</w:t>
      </w:r>
      <w:r>
        <w:rPr>
          <w:spacing w:val="-10"/>
        </w:rPr>
        <w:t xml:space="preserve"> </w:t>
      </w:r>
      <w:r>
        <w:t>affects tax planning. Because</w:t>
      </w:r>
      <w:r>
        <w:rPr>
          <w:spacing w:val="-3"/>
        </w:rPr>
        <w:t xml:space="preserve"> </w:t>
      </w:r>
      <w:r>
        <w:t>the</w:t>
      </w:r>
      <w:r>
        <w:rPr>
          <w:spacing w:val="-1"/>
        </w:rPr>
        <w:t xml:space="preserve"> </w:t>
      </w:r>
      <w:r>
        <w:t>significance</w:t>
      </w:r>
      <w:r>
        <w:rPr>
          <w:spacing w:val="-3"/>
        </w:rPr>
        <w:t xml:space="preserve"> </w:t>
      </w:r>
      <w:r>
        <w:t>level is</w:t>
      </w:r>
      <w:r>
        <w:rPr>
          <w:spacing w:val="-1"/>
        </w:rPr>
        <w:t xml:space="preserve"> </w:t>
      </w:r>
      <w:r>
        <w:t>less</w:t>
      </w:r>
      <w:r>
        <w:rPr>
          <w:spacing w:val="-1"/>
        </w:rPr>
        <w:t xml:space="preserve"> </w:t>
      </w:r>
      <w:r>
        <w:t>than 0.05, statistically, the dividend policy has a real relationship with the company's efforts to manage its tax burden. These results indicate that the higher the dividend distribution ratio, the higher the company's tax planning level. This can happen because companies that distribute significant dividends tend to want to maintain investor trust and project an image as a stable and financially</w:t>
      </w:r>
      <w:r>
        <w:rPr>
          <w:spacing w:val="-3"/>
        </w:rPr>
        <w:t xml:space="preserve"> </w:t>
      </w:r>
      <w:r>
        <w:t>healthy</w:t>
      </w:r>
      <w:r>
        <w:rPr>
          <w:spacing w:val="-3"/>
        </w:rPr>
        <w:t xml:space="preserve"> </w:t>
      </w:r>
      <w:r>
        <w:t>company. To support the</w:t>
      </w:r>
      <w:r>
        <w:rPr>
          <w:spacing w:val="-1"/>
        </w:rPr>
        <w:t xml:space="preserve"> </w:t>
      </w:r>
      <w:r>
        <w:t>ability</w:t>
      </w:r>
      <w:r>
        <w:rPr>
          <w:spacing w:val="-3"/>
        </w:rPr>
        <w:t xml:space="preserve"> </w:t>
      </w:r>
      <w:r>
        <w:t xml:space="preserve">to pay dividends without disrupting liquidity, companies will be encouraged to carry out efficient tax planning to minimize the tax burden legally. In signaling theory, a high dividend policy is a positive signal to investors that the company has substantial cash flow and good financial prospects. Consistent or increasing dividend payments can reflect management's confidence in the company's future performance. However, companies need to ensure cost efficiency through an effective tax planning strategy to maintain the ability to pay </w:t>
      </w:r>
      <w:r>
        <w:rPr>
          <w:spacing w:val="-2"/>
        </w:rPr>
        <w:t>dividends.</w:t>
      </w:r>
    </w:p>
    <w:p w14:paraId="29270C06" w14:textId="77777777" w:rsidR="00521B5E" w:rsidRDefault="001A17D5">
      <w:pPr>
        <w:pStyle w:val="BodyText"/>
        <w:spacing w:before="2"/>
        <w:ind w:left="424"/>
        <w:jc w:val="both"/>
      </w:pPr>
      <w:r>
        <w:t>Meanwhile,</w:t>
      </w:r>
      <w:r>
        <w:rPr>
          <w:spacing w:val="19"/>
        </w:rPr>
        <w:t xml:space="preserve"> </w:t>
      </w:r>
      <w:r>
        <w:t>the</w:t>
      </w:r>
      <w:r>
        <w:rPr>
          <w:spacing w:val="18"/>
        </w:rPr>
        <w:t xml:space="preserve"> </w:t>
      </w:r>
      <w:r>
        <w:t>Capital</w:t>
      </w:r>
      <w:r>
        <w:rPr>
          <w:spacing w:val="18"/>
        </w:rPr>
        <w:t xml:space="preserve"> </w:t>
      </w:r>
      <w:r>
        <w:t>Intensity</w:t>
      </w:r>
      <w:r>
        <w:rPr>
          <w:spacing w:val="12"/>
        </w:rPr>
        <w:t xml:space="preserve"> </w:t>
      </w:r>
      <w:r>
        <w:t>Ratio</w:t>
      </w:r>
      <w:r>
        <w:rPr>
          <w:spacing w:val="16"/>
        </w:rPr>
        <w:t xml:space="preserve"> </w:t>
      </w:r>
      <w:r>
        <w:t>variable</w:t>
      </w:r>
      <w:r>
        <w:rPr>
          <w:spacing w:val="14"/>
        </w:rPr>
        <w:t xml:space="preserve"> </w:t>
      </w:r>
      <w:r>
        <w:t>has</w:t>
      </w:r>
      <w:r>
        <w:rPr>
          <w:spacing w:val="15"/>
        </w:rPr>
        <w:t xml:space="preserve"> </w:t>
      </w:r>
      <w:r>
        <w:t>a</w:t>
      </w:r>
      <w:r>
        <w:rPr>
          <w:spacing w:val="18"/>
        </w:rPr>
        <w:t xml:space="preserve"> </w:t>
      </w:r>
      <w:r>
        <w:t>coefficient</w:t>
      </w:r>
      <w:r>
        <w:rPr>
          <w:spacing w:val="18"/>
        </w:rPr>
        <w:t xml:space="preserve"> </w:t>
      </w:r>
      <w:r>
        <w:t>of</w:t>
      </w:r>
      <w:r>
        <w:rPr>
          <w:spacing w:val="17"/>
        </w:rPr>
        <w:t xml:space="preserve"> </w:t>
      </w:r>
      <w:r>
        <w:t>0.047</w:t>
      </w:r>
      <w:r>
        <w:rPr>
          <w:spacing w:val="21"/>
        </w:rPr>
        <w:t xml:space="preserve"> </w:t>
      </w:r>
      <w:r>
        <w:t>with</w:t>
      </w:r>
      <w:r>
        <w:rPr>
          <w:spacing w:val="21"/>
        </w:rPr>
        <w:t xml:space="preserve"> </w:t>
      </w:r>
      <w:r>
        <w:t>a</w:t>
      </w:r>
      <w:r>
        <w:rPr>
          <w:spacing w:val="18"/>
        </w:rPr>
        <w:t xml:space="preserve"> </w:t>
      </w:r>
      <w:r>
        <w:t>significance</w:t>
      </w:r>
      <w:r>
        <w:rPr>
          <w:spacing w:val="18"/>
        </w:rPr>
        <w:t xml:space="preserve"> </w:t>
      </w:r>
      <w:r>
        <w:t>value</w:t>
      </w:r>
      <w:r>
        <w:rPr>
          <w:spacing w:val="19"/>
        </w:rPr>
        <w:t xml:space="preserve"> </w:t>
      </w:r>
      <w:r>
        <w:rPr>
          <w:spacing w:val="-5"/>
        </w:rPr>
        <w:t>of</w:t>
      </w:r>
    </w:p>
    <w:p w14:paraId="5A050E9B" w14:textId="77777777" w:rsidR="00521B5E" w:rsidRDefault="001A17D5">
      <w:pPr>
        <w:pStyle w:val="BodyText"/>
        <w:ind w:left="140" w:right="130"/>
        <w:jc w:val="both"/>
      </w:pPr>
      <w:r>
        <w:t>0.429. This value shows that the capital intensity ratio does not significantly affect the effective tax rate. In other words, the level of capital intensity in the company's asset structure does not significantly affect the amount of effective tax paid. This could be due to the influence of depreciation or tax incentives on fixed assets owned by the company. Based on the results of the partial test, the Capital Intensity Ratio (CIR) variable</w:t>
      </w:r>
      <w:r>
        <w:rPr>
          <w:spacing w:val="-2"/>
        </w:rPr>
        <w:t xml:space="preserve"> </w:t>
      </w:r>
      <w:r>
        <w:t>has a significance value of 0.429 and a t value of 0.794, both of which indicate</w:t>
      </w:r>
      <w:r>
        <w:rPr>
          <w:spacing w:val="-2"/>
        </w:rPr>
        <w:t xml:space="preserve"> </w:t>
      </w:r>
      <w:r>
        <w:t>that the effect of this variable on tax planning is not statistically significant, because the significance value is greater than the critical limit of 0.05. Thus, it can be concluded that the capital intensity ratio does not partially affect tax planning. This means that the size of the company's investment in fixed assets does not</w:t>
      </w:r>
      <w:r>
        <w:rPr>
          <w:spacing w:val="31"/>
        </w:rPr>
        <w:t xml:space="preserve"> </w:t>
      </w:r>
      <w:r>
        <w:t>significantly affect</w:t>
      </w:r>
      <w:r>
        <w:rPr>
          <w:spacing w:val="40"/>
        </w:rPr>
        <w:t xml:space="preserve"> </w:t>
      </w:r>
      <w:r>
        <w:t>the effectiveness of the company's tax planning. If associated with signaling theory, high investment in fixed assets</w:t>
      </w:r>
      <w:r>
        <w:rPr>
          <w:spacing w:val="-1"/>
        </w:rPr>
        <w:t xml:space="preserve"> </w:t>
      </w:r>
      <w:r>
        <w:t>should be</w:t>
      </w:r>
      <w:r>
        <w:rPr>
          <w:spacing w:val="-3"/>
        </w:rPr>
        <w:t xml:space="preserve"> </w:t>
      </w:r>
      <w:r>
        <w:t>a positive</w:t>
      </w:r>
      <w:r>
        <w:rPr>
          <w:spacing w:val="-3"/>
        </w:rPr>
        <w:t xml:space="preserve"> </w:t>
      </w:r>
      <w:r>
        <w:t>signal for investors because</w:t>
      </w:r>
      <w:r>
        <w:rPr>
          <w:spacing w:val="-3"/>
        </w:rPr>
        <w:t xml:space="preserve"> </w:t>
      </w:r>
      <w:r>
        <w:t>it shows</w:t>
      </w:r>
      <w:r>
        <w:rPr>
          <w:spacing w:val="-1"/>
        </w:rPr>
        <w:t xml:space="preserve"> </w:t>
      </w:r>
      <w:r>
        <w:t>that the</w:t>
      </w:r>
      <w:r>
        <w:rPr>
          <w:spacing w:val="-3"/>
        </w:rPr>
        <w:t xml:space="preserve"> </w:t>
      </w:r>
      <w:r>
        <w:t>company</w:t>
      </w:r>
      <w:r>
        <w:rPr>
          <w:spacing w:val="-9"/>
        </w:rPr>
        <w:t xml:space="preserve"> </w:t>
      </w:r>
      <w:r>
        <w:t>has</w:t>
      </w:r>
      <w:r>
        <w:rPr>
          <w:spacing w:val="-1"/>
        </w:rPr>
        <w:t xml:space="preserve"> </w:t>
      </w:r>
      <w:r>
        <w:t>a</w:t>
      </w:r>
      <w:r>
        <w:rPr>
          <w:spacing w:val="-3"/>
        </w:rPr>
        <w:t xml:space="preserve"> </w:t>
      </w:r>
      <w:r>
        <w:t>long-term</w:t>
      </w:r>
      <w:r>
        <w:rPr>
          <w:spacing w:val="-2"/>
        </w:rPr>
        <w:t xml:space="preserve"> </w:t>
      </w:r>
      <w:r>
        <w:t>growth and operational sustainability plan. In addition, in many cases, fixed assets can also provide tax benefits in the form of depreciation, which theoretically can be used in tax planning to reduce taxable income.</w:t>
      </w:r>
    </w:p>
    <w:p w14:paraId="0F0E34A4" w14:textId="77777777" w:rsidR="00521B5E" w:rsidRDefault="00521B5E">
      <w:pPr>
        <w:pStyle w:val="BodyText"/>
        <w:spacing w:before="6"/>
      </w:pPr>
    </w:p>
    <w:p w14:paraId="2F06335F" w14:textId="77777777" w:rsidR="00521B5E" w:rsidRDefault="001A17D5">
      <w:pPr>
        <w:pStyle w:val="Heading1"/>
        <w:jc w:val="both"/>
      </w:pPr>
      <w:r>
        <w:t>Conclusion</w:t>
      </w:r>
      <w:r>
        <w:rPr>
          <w:spacing w:val="-8"/>
        </w:rPr>
        <w:t xml:space="preserve"> </w:t>
      </w:r>
      <w:r>
        <w:t>and</w:t>
      </w:r>
      <w:r>
        <w:rPr>
          <w:spacing w:val="-7"/>
        </w:rPr>
        <w:t xml:space="preserve"> </w:t>
      </w:r>
      <w:r>
        <w:rPr>
          <w:spacing w:val="-2"/>
        </w:rPr>
        <w:t>Recommendations</w:t>
      </w:r>
    </w:p>
    <w:p w14:paraId="1BED9B68" w14:textId="77777777" w:rsidR="00521B5E" w:rsidRDefault="001A17D5">
      <w:pPr>
        <w:pStyle w:val="BodyText"/>
        <w:spacing w:before="2" w:line="235" w:lineRule="auto"/>
        <w:ind w:left="140" w:right="137" w:firstLine="360"/>
        <w:jc w:val="both"/>
      </w:pPr>
      <w:r>
        <w:t>Based on</w:t>
      </w:r>
      <w:r>
        <w:rPr>
          <w:spacing w:val="14"/>
        </w:rPr>
        <w:t xml:space="preserve"> </w:t>
      </w:r>
      <w:r>
        <w:t>the results of the research and discussion that have been</w:t>
      </w:r>
      <w:r>
        <w:rPr>
          <w:spacing w:val="14"/>
        </w:rPr>
        <w:t xml:space="preserve"> </w:t>
      </w:r>
      <w:r>
        <w:t>done previously, it can be concluded as follows:</w:t>
      </w:r>
    </w:p>
    <w:p w14:paraId="056F9ABC" w14:textId="77777777" w:rsidR="00521B5E" w:rsidRDefault="001A17D5">
      <w:pPr>
        <w:pStyle w:val="ListParagraph"/>
        <w:numPr>
          <w:ilvl w:val="0"/>
          <w:numId w:val="2"/>
        </w:numPr>
        <w:tabs>
          <w:tab w:val="left" w:pos="861"/>
        </w:tabs>
        <w:ind w:right="137"/>
        <w:jc w:val="both"/>
        <w:rPr>
          <w:sz w:val="20"/>
        </w:rPr>
      </w:pPr>
      <w:r>
        <w:rPr>
          <w:sz w:val="20"/>
        </w:rPr>
        <w:t>Based on the results of the anova test of Ownership Structure (Institutional Ownership), Dividend Policy (Dividend Payout Ratio), and Capital Intensity Ratio have a simultaneous effect on Tax Planning (Effective Tax Rate)</w:t>
      </w:r>
    </w:p>
    <w:p w14:paraId="258FC962" w14:textId="77777777" w:rsidR="00521B5E" w:rsidRDefault="001A17D5">
      <w:pPr>
        <w:pStyle w:val="ListParagraph"/>
        <w:numPr>
          <w:ilvl w:val="0"/>
          <w:numId w:val="2"/>
        </w:numPr>
        <w:tabs>
          <w:tab w:val="left" w:pos="861"/>
        </w:tabs>
        <w:spacing w:before="2"/>
        <w:ind w:right="131"/>
        <w:jc w:val="both"/>
        <w:rPr>
          <w:sz w:val="20"/>
        </w:rPr>
      </w:pPr>
      <w:r>
        <w:rPr>
          <w:sz w:val="20"/>
        </w:rPr>
        <w:t>This Ownership Structure has a partial effect on Tax Planning. The majority shareholder is usually directly interested in the company's tax efficiency.</w:t>
      </w:r>
    </w:p>
    <w:p w14:paraId="182D7917" w14:textId="77777777" w:rsidR="00521B5E" w:rsidRDefault="001A17D5">
      <w:pPr>
        <w:pStyle w:val="ListParagraph"/>
        <w:numPr>
          <w:ilvl w:val="0"/>
          <w:numId w:val="2"/>
        </w:numPr>
        <w:tabs>
          <w:tab w:val="left" w:pos="861"/>
        </w:tabs>
        <w:jc w:val="both"/>
        <w:rPr>
          <w:sz w:val="20"/>
        </w:rPr>
      </w:pPr>
      <w:r>
        <w:rPr>
          <w:sz w:val="20"/>
        </w:rPr>
        <w:t>Dividend Policy has a partial effect on Tax Planning. This is because the decision to distribute or retain profits affects tax management strategies</w:t>
      </w:r>
    </w:p>
    <w:p w14:paraId="238B1B95" w14:textId="77777777" w:rsidR="00521B5E" w:rsidRDefault="001A17D5">
      <w:pPr>
        <w:pStyle w:val="ListParagraph"/>
        <w:numPr>
          <w:ilvl w:val="0"/>
          <w:numId w:val="2"/>
        </w:numPr>
        <w:tabs>
          <w:tab w:val="left" w:pos="861"/>
        </w:tabs>
        <w:jc w:val="both"/>
        <w:rPr>
          <w:sz w:val="20"/>
        </w:rPr>
      </w:pPr>
      <w:r>
        <w:rPr>
          <w:sz w:val="20"/>
        </w:rPr>
        <w:t>Capital Intensity Ratio does not partially affect Tax Planning. This CIR allows depreciation to</w:t>
      </w:r>
      <w:r>
        <w:rPr>
          <w:spacing w:val="40"/>
          <w:sz w:val="20"/>
        </w:rPr>
        <w:t xml:space="preserve"> </w:t>
      </w:r>
      <w:r>
        <w:rPr>
          <w:sz w:val="20"/>
        </w:rPr>
        <w:t>reduce taxable income; not all companies maximise this depreciation for tax planning purposes.</w:t>
      </w:r>
    </w:p>
    <w:p w14:paraId="2AADEDC2" w14:textId="77777777" w:rsidR="00521B5E" w:rsidRDefault="00521B5E">
      <w:pPr>
        <w:pStyle w:val="BodyText"/>
        <w:spacing w:before="49"/>
      </w:pPr>
    </w:p>
    <w:p w14:paraId="6D870204" w14:textId="77777777" w:rsidR="00521B5E" w:rsidRDefault="001A17D5">
      <w:pPr>
        <w:pStyle w:val="BodyText"/>
        <w:spacing w:before="1"/>
        <w:ind w:left="140" w:right="137" w:firstLine="283"/>
        <w:jc w:val="both"/>
      </w:pPr>
      <w:r>
        <w:t>Based on the conclusions above,</w:t>
      </w:r>
      <w:r>
        <w:rPr>
          <w:spacing w:val="16"/>
        </w:rPr>
        <w:t xml:space="preserve"> </w:t>
      </w:r>
      <w:r>
        <w:t>the recommendations that the author</w:t>
      </w:r>
      <w:r>
        <w:rPr>
          <w:spacing w:val="18"/>
        </w:rPr>
        <w:t xml:space="preserve"> </w:t>
      </w:r>
      <w:r>
        <w:t>can put forward for the future are</w:t>
      </w:r>
      <w:r>
        <w:rPr>
          <w:spacing w:val="40"/>
        </w:rPr>
        <w:t xml:space="preserve"> </w:t>
      </w:r>
      <w:r>
        <w:t>as follows:</w:t>
      </w:r>
    </w:p>
    <w:p w14:paraId="6F654BC9" w14:textId="77777777" w:rsidR="00521B5E" w:rsidRDefault="00521B5E">
      <w:pPr>
        <w:pStyle w:val="BodyText"/>
        <w:spacing w:before="49"/>
      </w:pPr>
    </w:p>
    <w:p w14:paraId="1C19536F" w14:textId="77777777" w:rsidR="00521B5E" w:rsidRDefault="001A17D5">
      <w:pPr>
        <w:pStyle w:val="ListParagraph"/>
        <w:numPr>
          <w:ilvl w:val="0"/>
          <w:numId w:val="1"/>
        </w:numPr>
        <w:tabs>
          <w:tab w:val="left" w:pos="861"/>
        </w:tabs>
        <w:spacing w:before="0"/>
        <w:ind w:right="139"/>
        <w:jc w:val="both"/>
        <w:rPr>
          <w:sz w:val="20"/>
        </w:rPr>
      </w:pPr>
      <w:r>
        <w:rPr>
          <w:sz w:val="20"/>
        </w:rPr>
        <w:t>Further researchers are advised to add other variables such as leverage, company size, corporate governance, or CSR, which have the potential to provide a more comprehensive picture of tax planning practices. In addition, the scope of time and industrial sectors can also be expanded to increase the generalization of research results.</w:t>
      </w:r>
    </w:p>
    <w:p w14:paraId="12A29514" w14:textId="77777777" w:rsidR="00521B5E" w:rsidRDefault="001A17D5">
      <w:pPr>
        <w:pStyle w:val="ListParagraph"/>
        <w:numPr>
          <w:ilvl w:val="0"/>
          <w:numId w:val="1"/>
        </w:numPr>
        <w:tabs>
          <w:tab w:val="left" w:pos="861"/>
        </w:tabs>
        <w:spacing w:before="2"/>
        <w:ind w:right="132"/>
        <w:jc w:val="both"/>
        <w:rPr>
          <w:sz w:val="20"/>
        </w:rPr>
      </w:pPr>
      <w:r>
        <w:rPr>
          <w:sz w:val="20"/>
        </w:rPr>
        <w:t>Companies are advised to further optimize the role of institutional shareholders in monitoring and making strategic decisions related to tax policies. Strong institutional ownership can encourage transparency and efficiency in corporate taxes. In addition, the right dividend policy can also be a positive signal for investors and demonstrate</w:t>
      </w:r>
      <w:r>
        <w:rPr>
          <w:spacing w:val="-2"/>
          <w:sz w:val="20"/>
        </w:rPr>
        <w:t xml:space="preserve"> </w:t>
      </w:r>
      <w:r>
        <w:rPr>
          <w:sz w:val="20"/>
        </w:rPr>
        <w:t>the company's commitment</w:t>
      </w:r>
      <w:r>
        <w:rPr>
          <w:spacing w:val="-2"/>
          <w:sz w:val="20"/>
        </w:rPr>
        <w:t xml:space="preserve"> </w:t>
      </w:r>
      <w:r>
        <w:rPr>
          <w:sz w:val="20"/>
        </w:rPr>
        <w:t>to managing</w:t>
      </w:r>
      <w:r>
        <w:rPr>
          <w:spacing w:val="-4"/>
          <w:sz w:val="20"/>
        </w:rPr>
        <w:t xml:space="preserve"> </w:t>
      </w:r>
      <w:r>
        <w:rPr>
          <w:sz w:val="20"/>
        </w:rPr>
        <w:t xml:space="preserve">its tax burden </w:t>
      </w:r>
      <w:r>
        <w:rPr>
          <w:spacing w:val="-2"/>
          <w:sz w:val="20"/>
        </w:rPr>
        <w:t>efficiently.</w:t>
      </w:r>
    </w:p>
    <w:p w14:paraId="54D6E275" w14:textId="6F1D3365" w:rsidR="0055765F" w:rsidRDefault="0055765F">
      <w:pPr>
        <w:pStyle w:val="BodyText"/>
        <w:spacing w:before="3"/>
      </w:pPr>
    </w:p>
    <w:p w14:paraId="1C9CE769" w14:textId="77777777" w:rsidR="00521B5E" w:rsidRDefault="001A17D5">
      <w:pPr>
        <w:pStyle w:val="Heading1"/>
        <w:jc w:val="left"/>
      </w:pPr>
      <w:r>
        <w:rPr>
          <w:spacing w:val="-2"/>
        </w:rPr>
        <w:t>References</w:t>
      </w:r>
    </w:p>
    <w:p w14:paraId="4A66554D" w14:textId="77777777" w:rsidR="00521B5E" w:rsidRDefault="001A17D5">
      <w:pPr>
        <w:pStyle w:val="BodyText"/>
        <w:spacing w:line="228" w:lineRule="exact"/>
        <w:ind w:left="140"/>
      </w:pPr>
      <w:r>
        <w:rPr>
          <w:u w:val="single"/>
        </w:rPr>
        <w:t>Journal</w:t>
      </w:r>
      <w:r>
        <w:rPr>
          <w:spacing w:val="-5"/>
          <w:u w:val="single"/>
        </w:rPr>
        <w:t xml:space="preserve"> </w:t>
      </w:r>
      <w:r>
        <w:rPr>
          <w:spacing w:val="-2"/>
          <w:u w:val="single"/>
        </w:rPr>
        <w:t>Article</w:t>
      </w:r>
    </w:p>
    <w:p w14:paraId="52E3579E" w14:textId="77777777" w:rsidR="00521B5E" w:rsidRDefault="00521B5E">
      <w:pPr>
        <w:pStyle w:val="BodyText"/>
        <w:spacing w:before="1"/>
      </w:pPr>
    </w:p>
    <w:p w14:paraId="76A530C5" w14:textId="77777777" w:rsidR="00521B5E" w:rsidRDefault="001A17D5">
      <w:pPr>
        <w:pStyle w:val="BodyText"/>
        <w:tabs>
          <w:tab w:val="left" w:pos="2228"/>
          <w:tab w:val="left" w:pos="3232"/>
          <w:tab w:val="left" w:pos="4158"/>
          <w:tab w:val="left" w:pos="5691"/>
          <w:tab w:val="left" w:pos="7016"/>
          <w:tab w:val="left" w:pos="8481"/>
        </w:tabs>
        <w:ind w:left="621" w:right="137" w:hanging="481"/>
      </w:pPr>
      <w:r>
        <w:t>Arianandini,</w:t>
      </w:r>
      <w:r>
        <w:rPr>
          <w:spacing w:val="40"/>
        </w:rPr>
        <w:t xml:space="preserve"> </w:t>
      </w:r>
      <w:r>
        <w:t>P.</w:t>
      </w:r>
      <w:r>
        <w:rPr>
          <w:spacing w:val="40"/>
        </w:rPr>
        <w:t xml:space="preserve"> </w:t>
      </w:r>
      <w:r>
        <w:t>W.,</w:t>
      </w:r>
      <w:r>
        <w:rPr>
          <w:spacing w:val="40"/>
        </w:rPr>
        <w:t xml:space="preserve"> </w:t>
      </w:r>
      <w:r>
        <w:t>&amp;</w:t>
      </w:r>
      <w:r>
        <w:rPr>
          <w:spacing w:val="40"/>
        </w:rPr>
        <w:t xml:space="preserve"> </w:t>
      </w:r>
      <w:r>
        <w:t>Ramantha,</w:t>
      </w:r>
      <w:r>
        <w:rPr>
          <w:spacing w:val="40"/>
        </w:rPr>
        <w:t xml:space="preserve"> </w:t>
      </w:r>
      <w:r>
        <w:t>I.</w:t>
      </w:r>
      <w:r>
        <w:rPr>
          <w:spacing w:val="40"/>
        </w:rPr>
        <w:t xml:space="preserve"> </w:t>
      </w:r>
      <w:r>
        <w:t>W.</w:t>
      </w:r>
      <w:r>
        <w:rPr>
          <w:spacing w:val="40"/>
        </w:rPr>
        <w:t xml:space="preserve"> </w:t>
      </w:r>
      <w:r>
        <w:t>(2018).</w:t>
      </w:r>
      <w:r>
        <w:rPr>
          <w:spacing w:val="40"/>
        </w:rPr>
        <w:t xml:space="preserve"> </w:t>
      </w:r>
      <w:r>
        <w:t>Pengaruh</w:t>
      </w:r>
      <w:r>
        <w:rPr>
          <w:spacing w:val="40"/>
        </w:rPr>
        <w:t xml:space="preserve"> </w:t>
      </w:r>
      <w:r>
        <w:t>Profitabilitas,</w:t>
      </w:r>
      <w:r>
        <w:rPr>
          <w:spacing w:val="40"/>
        </w:rPr>
        <w:t xml:space="preserve"> </w:t>
      </w:r>
      <w:r>
        <w:t>Leverage,</w:t>
      </w:r>
      <w:r>
        <w:rPr>
          <w:spacing w:val="40"/>
        </w:rPr>
        <w:t xml:space="preserve"> </w:t>
      </w:r>
      <w:r>
        <w:t>Dan</w:t>
      </w:r>
      <w:r>
        <w:rPr>
          <w:spacing w:val="40"/>
        </w:rPr>
        <w:t xml:space="preserve"> </w:t>
      </w:r>
      <w:r>
        <w:t>Kepemilikan</w:t>
      </w:r>
      <w:r>
        <w:rPr>
          <w:spacing w:val="80"/>
        </w:rPr>
        <w:t xml:space="preserve"> </w:t>
      </w:r>
      <w:r>
        <w:rPr>
          <w:spacing w:val="-2"/>
        </w:rPr>
        <w:t>Institusional</w:t>
      </w:r>
      <w:r>
        <w:tab/>
      </w:r>
      <w:r>
        <w:rPr>
          <w:spacing w:val="-4"/>
        </w:rPr>
        <w:t>Pada</w:t>
      </w:r>
      <w:r>
        <w:tab/>
      </w:r>
      <w:r>
        <w:rPr>
          <w:spacing w:val="-5"/>
        </w:rPr>
        <w:t>Tax</w:t>
      </w:r>
      <w:r>
        <w:tab/>
      </w:r>
      <w:r>
        <w:rPr>
          <w:spacing w:val="-2"/>
        </w:rPr>
        <w:t>Avoidance.</w:t>
      </w:r>
      <w:r>
        <w:tab/>
      </w:r>
      <w:r>
        <w:rPr>
          <w:i/>
          <w:spacing w:val="-2"/>
        </w:rPr>
        <w:t>E-Jurnal</w:t>
      </w:r>
      <w:r>
        <w:rPr>
          <w:i/>
        </w:rPr>
        <w:tab/>
      </w:r>
      <w:r>
        <w:rPr>
          <w:i/>
          <w:spacing w:val="-2"/>
        </w:rPr>
        <w:t>Akuntansi</w:t>
      </w:r>
      <w:r>
        <w:rPr>
          <w:spacing w:val="-2"/>
        </w:rPr>
        <w:t>,</w:t>
      </w:r>
      <w:r>
        <w:tab/>
      </w:r>
      <w:r>
        <w:rPr>
          <w:spacing w:val="-2"/>
        </w:rPr>
        <w:t>2088.</w:t>
      </w:r>
    </w:p>
    <w:p w14:paraId="3A4CF6BE" w14:textId="77777777" w:rsidR="00521B5E" w:rsidRDefault="001A17D5">
      <w:pPr>
        <w:pStyle w:val="BodyText"/>
        <w:spacing w:before="1"/>
        <w:ind w:left="621"/>
      </w:pPr>
      <w:r>
        <w:rPr>
          <w:spacing w:val="-2"/>
        </w:rPr>
        <w:t>Https://Doi.Org/10.24843/Eja.2018.V22.I03.P17</w:t>
      </w:r>
    </w:p>
    <w:p w14:paraId="35A2B68F" w14:textId="77777777" w:rsidR="00521B5E" w:rsidRDefault="00521B5E">
      <w:pPr>
        <w:pStyle w:val="BodyText"/>
        <w:sectPr w:rsidR="00521B5E">
          <w:pgSz w:w="11910" w:h="16840"/>
          <w:pgMar w:top="1920" w:right="1275" w:bottom="280" w:left="1559" w:header="368" w:footer="0" w:gutter="0"/>
          <w:cols w:space="720"/>
        </w:sectPr>
      </w:pPr>
    </w:p>
    <w:p w14:paraId="3E425621" w14:textId="77777777" w:rsidR="00521B5E" w:rsidRDefault="001A17D5">
      <w:pPr>
        <w:pStyle w:val="BodyText"/>
        <w:spacing w:before="52"/>
        <w:ind w:left="621" w:right="137" w:hanging="481"/>
        <w:jc w:val="both"/>
      </w:pPr>
      <w:r>
        <w:lastRenderedPageBreak/>
        <w:t xml:space="preserve">Dewi, S. L., &amp; Oktaviani, R. M. (2021). Pengaruh Leverage, Capital Intensity, Komisaris Independen Dan Kepemilikan Institusional Terhadap Tax Avoidance. </w:t>
      </w:r>
      <w:r>
        <w:rPr>
          <w:i/>
        </w:rPr>
        <w:t>Akurasi</w:t>
      </w:r>
      <w:r>
        <w:rPr>
          <w:i/>
          <w:spacing w:val="-13"/>
        </w:rPr>
        <w:t xml:space="preserve"> </w:t>
      </w:r>
      <w:r>
        <w:rPr>
          <w:i/>
        </w:rPr>
        <w:t>: Jurnal Studi Akuntansi Dan Keuangan</w:t>
      </w:r>
      <w:r>
        <w:t xml:space="preserve">, </w:t>
      </w:r>
      <w:r>
        <w:rPr>
          <w:i/>
        </w:rPr>
        <w:t>4</w:t>
      </w:r>
      <w:r>
        <w:t>(2), 179–194. Https://Doi.Org/10.29303/Akurasi.V4i2.122</w:t>
      </w:r>
    </w:p>
    <w:p w14:paraId="11EF0316" w14:textId="77777777" w:rsidR="00521B5E" w:rsidRDefault="001A17D5">
      <w:pPr>
        <w:pStyle w:val="BodyText"/>
        <w:spacing w:before="2"/>
        <w:ind w:left="621" w:right="132" w:hanging="481"/>
        <w:jc w:val="both"/>
      </w:pPr>
      <w:r>
        <w:t>Fuadi, F., Sawirti, R. A., Agustina, F. F., Mulyono, A., &amp; Pratiwi, R. T. (2024). Apakah Struktur</w:t>
      </w:r>
      <w:r>
        <w:rPr>
          <w:spacing w:val="40"/>
        </w:rPr>
        <w:t xml:space="preserve"> </w:t>
      </w:r>
      <w:r>
        <w:t xml:space="preserve">Kepemilikan Mempengaruhi Penghindaran Pajak? Bukti Empiris Dari Pasar Modal Indonesia. </w:t>
      </w:r>
      <w:r>
        <w:rPr>
          <w:i/>
        </w:rPr>
        <w:t>Jurnal Akuntansi Dan Keuangan</w:t>
      </w:r>
      <w:r>
        <w:t xml:space="preserve">, </w:t>
      </w:r>
      <w:r>
        <w:rPr>
          <w:i/>
        </w:rPr>
        <w:t>29</w:t>
      </w:r>
      <w:r>
        <w:t>(1), 69–82. Https://Doi.Org/10.23960/Jak.V29i1.2053</w:t>
      </w:r>
    </w:p>
    <w:p w14:paraId="19562754" w14:textId="77777777" w:rsidR="00521B5E" w:rsidRPr="002F684B" w:rsidRDefault="001A17D5">
      <w:pPr>
        <w:ind w:left="621" w:right="139" w:hanging="481"/>
        <w:jc w:val="both"/>
        <w:rPr>
          <w:sz w:val="20"/>
          <w:lang w:val="fi-FI"/>
        </w:rPr>
      </w:pPr>
      <w:r w:rsidRPr="002F684B">
        <w:rPr>
          <w:sz w:val="20"/>
          <w:lang w:val="fi-FI"/>
        </w:rPr>
        <w:t xml:space="preserve">Harahap, A. P. S., Meilawati, E., Fitri, P. A., Serina, R., &amp; Asih, Y. (2023). Pengaruh Transfer Pricing Dan Kebijakan Deviden Terhadap Penghindaran Pajak. </w:t>
      </w:r>
      <w:r w:rsidRPr="002F684B">
        <w:rPr>
          <w:i/>
          <w:sz w:val="20"/>
          <w:lang w:val="fi-FI"/>
        </w:rPr>
        <w:t>Motekar: Jurnal Multidisiplin Teknologi Dan Arsitektur</w:t>
      </w:r>
      <w:r w:rsidRPr="002F684B">
        <w:rPr>
          <w:sz w:val="20"/>
          <w:lang w:val="fi-FI"/>
        </w:rPr>
        <w:t xml:space="preserve">, </w:t>
      </w:r>
      <w:r w:rsidRPr="002F684B">
        <w:rPr>
          <w:i/>
          <w:sz w:val="20"/>
          <w:lang w:val="fi-FI"/>
        </w:rPr>
        <w:t>1</w:t>
      </w:r>
      <w:r w:rsidRPr="002F684B">
        <w:rPr>
          <w:sz w:val="20"/>
          <w:lang w:val="fi-FI"/>
        </w:rPr>
        <w:t>(2), 58–65. Https://Doi.Org/10.57235/Motekar.V1i2.1324</w:t>
      </w:r>
    </w:p>
    <w:p w14:paraId="192F8E2C" w14:textId="77777777" w:rsidR="00521B5E" w:rsidRDefault="001A17D5">
      <w:pPr>
        <w:pStyle w:val="BodyText"/>
        <w:ind w:left="621" w:right="142" w:hanging="481"/>
        <w:jc w:val="both"/>
      </w:pPr>
      <w:r w:rsidRPr="002F684B">
        <w:rPr>
          <w:lang w:val="fi-FI"/>
        </w:rPr>
        <w:t xml:space="preserve">Romdania, S. W., Bahri, S., &amp; Wahyudi, U. (2022). </w:t>
      </w:r>
      <w:r>
        <w:t>Pengaruh Capital Intensity, Return On Asset, Dan Solvabilitas</w:t>
      </w:r>
      <w:r>
        <w:rPr>
          <w:spacing w:val="-2"/>
        </w:rPr>
        <w:t xml:space="preserve"> </w:t>
      </w:r>
      <w:r>
        <w:t xml:space="preserve">Terhadap Perencanaan Pajak Pada Perusahaan Manufaktur Yang Terdaftar Di Bei Periode 2016-2020. </w:t>
      </w:r>
      <w:r>
        <w:rPr>
          <w:i/>
        </w:rPr>
        <w:t>Conference On Economic And Business Innovation (CEBI)</w:t>
      </w:r>
      <w:r>
        <w:t>, 1813–1822.</w:t>
      </w:r>
    </w:p>
    <w:p w14:paraId="506DDA7E" w14:textId="77777777" w:rsidR="00521B5E" w:rsidRPr="002F684B" w:rsidRDefault="001A17D5">
      <w:pPr>
        <w:pStyle w:val="BodyText"/>
        <w:ind w:left="621" w:right="137" w:hanging="481"/>
        <w:jc w:val="both"/>
        <w:rPr>
          <w:lang w:val="de-DE"/>
        </w:rPr>
      </w:pPr>
      <w:r>
        <w:t xml:space="preserve">Solikin, A., &amp; Slamet, K. (2022). </w:t>
      </w:r>
      <w:r w:rsidRPr="002F684B">
        <w:rPr>
          <w:lang w:val="de-DE"/>
        </w:rPr>
        <w:t xml:space="preserve">Pengaruh Koneksi Politik, Struktur Kepemilikan, Dan Kebijakan Dividen Terhadap Agresivitas Pajak. </w:t>
      </w:r>
      <w:r w:rsidRPr="002F684B">
        <w:rPr>
          <w:i/>
          <w:lang w:val="de-DE"/>
        </w:rPr>
        <w:t>Jurnal Pajak Dan Keuangan Negara (Pkn)</w:t>
      </w:r>
      <w:r w:rsidRPr="002F684B">
        <w:rPr>
          <w:lang w:val="de-DE"/>
        </w:rPr>
        <w:t xml:space="preserve">, </w:t>
      </w:r>
      <w:r w:rsidRPr="002F684B">
        <w:rPr>
          <w:i/>
          <w:lang w:val="de-DE"/>
        </w:rPr>
        <w:t>3</w:t>
      </w:r>
      <w:r w:rsidRPr="002F684B">
        <w:rPr>
          <w:lang w:val="de-DE"/>
        </w:rPr>
        <w:t xml:space="preserve">(2), 270–283. </w:t>
      </w:r>
      <w:r w:rsidRPr="002F684B">
        <w:rPr>
          <w:spacing w:val="-2"/>
          <w:lang w:val="de-DE"/>
        </w:rPr>
        <w:t>Https://Doi.Org/10.31092/Jpkn.V3i2.1521</w:t>
      </w:r>
    </w:p>
    <w:p w14:paraId="2163E992" w14:textId="77777777" w:rsidR="00521B5E" w:rsidRPr="002F684B" w:rsidRDefault="001A17D5">
      <w:pPr>
        <w:ind w:left="621" w:right="130" w:hanging="481"/>
        <w:jc w:val="both"/>
        <w:rPr>
          <w:sz w:val="20"/>
          <w:lang w:val="de-DE"/>
        </w:rPr>
      </w:pPr>
      <w:r w:rsidRPr="002F684B">
        <w:rPr>
          <w:sz w:val="20"/>
          <w:lang w:val="de-DE"/>
        </w:rPr>
        <w:t>Teguh, A. W., &amp;</w:t>
      </w:r>
      <w:r w:rsidRPr="002F684B">
        <w:rPr>
          <w:spacing w:val="-5"/>
          <w:sz w:val="20"/>
          <w:lang w:val="de-DE"/>
        </w:rPr>
        <w:t xml:space="preserve"> </w:t>
      </w:r>
      <w:r w:rsidRPr="002F684B">
        <w:rPr>
          <w:sz w:val="20"/>
          <w:lang w:val="de-DE"/>
        </w:rPr>
        <w:t>Nyale, M. H. Y. (2024). Pengaruh Struktur Kepemilikan Dan Ukuran Perusahaan</w:t>
      </w:r>
      <w:r w:rsidRPr="002F684B">
        <w:rPr>
          <w:spacing w:val="-2"/>
          <w:sz w:val="20"/>
          <w:lang w:val="de-DE"/>
        </w:rPr>
        <w:t xml:space="preserve"> </w:t>
      </w:r>
      <w:r w:rsidRPr="002F684B">
        <w:rPr>
          <w:sz w:val="20"/>
          <w:lang w:val="de-DE"/>
        </w:rPr>
        <w:t xml:space="preserve">Terhadap Strategi Penghindaran Pajak. </w:t>
      </w:r>
      <w:r w:rsidRPr="002F684B">
        <w:rPr>
          <w:i/>
          <w:sz w:val="20"/>
          <w:lang w:val="de-DE"/>
        </w:rPr>
        <w:t>Jurnal Ilmiah Manajemen, Ekonomi, &amp; Akuntansi (Mea)</w:t>
      </w:r>
      <w:r w:rsidRPr="002F684B">
        <w:rPr>
          <w:sz w:val="20"/>
          <w:lang w:val="de-DE"/>
        </w:rPr>
        <w:t xml:space="preserve">, </w:t>
      </w:r>
      <w:r w:rsidRPr="002F684B">
        <w:rPr>
          <w:i/>
          <w:sz w:val="20"/>
          <w:lang w:val="de-DE"/>
        </w:rPr>
        <w:t>8</w:t>
      </w:r>
      <w:r w:rsidRPr="002F684B">
        <w:rPr>
          <w:sz w:val="20"/>
          <w:lang w:val="de-DE"/>
        </w:rPr>
        <w:t>(1), 2305– 2320. Https://Doi.Org/10.31955/Mea.V8i1.3973</w:t>
      </w:r>
    </w:p>
    <w:p w14:paraId="110438B2" w14:textId="77777777" w:rsidR="00521B5E" w:rsidRPr="002F684B" w:rsidRDefault="001A17D5">
      <w:pPr>
        <w:ind w:left="621" w:right="137" w:hanging="481"/>
        <w:jc w:val="both"/>
        <w:rPr>
          <w:sz w:val="20"/>
          <w:lang w:val="fi-FI"/>
        </w:rPr>
      </w:pPr>
      <w:r>
        <w:rPr>
          <w:sz w:val="20"/>
        </w:rPr>
        <w:t xml:space="preserve">Wijaya, L. H., &amp; Susilowati, C. (2024). </w:t>
      </w:r>
      <w:r w:rsidRPr="002F684B">
        <w:rPr>
          <w:sz w:val="20"/>
          <w:lang w:val="fi-FI"/>
        </w:rPr>
        <w:t xml:space="preserve">Pengaruh Ukuran Perusahaan, Pertumbuhan Perusahaan, Leverage Dan Profitabilitas Terhadap Nilai Perusahaan. </w:t>
      </w:r>
      <w:r w:rsidRPr="002F684B">
        <w:rPr>
          <w:i/>
          <w:sz w:val="20"/>
          <w:lang w:val="fi-FI"/>
        </w:rPr>
        <w:t>Jurnal Edukasi (Ekonomi, Pendidikan Dan Akuntansi)</w:t>
      </w:r>
      <w:r w:rsidRPr="002F684B">
        <w:rPr>
          <w:sz w:val="20"/>
          <w:lang w:val="fi-FI"/>
        </w:rPr>
        <w:t xml:space="preserve">, </w:t>
      </w:r>
      <w:r w:rsidRPr="002F684B">
        <w:rPr>
          <w:i/>
          <w:sz w:val="20"/>
          <w:lang w:val="fi-FI"/>
        </w:rPr>
        <w:t>12</w:t>
      </w:r>
      <w:r w:rsidRPr="002F684B">
        <w:rPr>
          <w:sz w:val="20"/>
          <w:lang w:val="fi-FI"/>
        </w:rPr>
        <w:t>(1), 105. Https://Doi.Org/10.25157/Je.V12i1.14167</w:t>
      </w:r>
    </w:p>
    <w:p w14:paraId="69FFB00C" w14:textId="77777777" w:rsidR="00521B5E" w:rsidRPr="002F684B" w:rsidRDefault="00521B5E">
      <w:pPr>
        <w:pStyle w:val="BodyText"/>
        <w:rPr>
          <w:lang w:val="fi-FI"/>
        </w:rPr>
      </w:pPr>
    </w:p>
    <w:p w14:paraId="11119CB8" w14:textId="77777777" w:rsidR="00521B5E" w:rsidRPr="002F684B" w:rsidRDefault="00521B5E">
      <w:pPr>
        <w:pStyle w:val="BodyText"/>
        <w:rPr>
          <w:lang w:val="fi-FI"/>
        </w:rPr>
      </w:pPr>
    </w:p>
    <w:p w14:paraId="6BB608F2" w14:textId="77777777" w:rsidR="00521B5E" w:rsidRPr="002F684B" w:rsidRDefault="00521B5E">
      <w:pPr>
        <w:pStyle w:val="BodyText"/>
        <w:rPr>
          <w:lang w:val="fi-FI"/>
        </w:rPr>
      </w:pPr>
    </w:p>
    <w:p w14:paraId="41821E68" w14:textId="77777777" w:rsidR="00521B5E" w:rsidRPr="002F684B" w:rsidRDefault="00521B5E">
      <w:pPr>
        <w:pStyle w:val="BodyText"/>
        <w:spacing w:before="73"/>
        <w:rPr>
          <w:lang w:val="fi-FI"/>
        </w:rPr>
      </w:pPr>
    </w:p>
    <w:p w14:paraId="37D5443D" w14:textId="77777777" w:rsidR="00521B5E" w:rsidRDefault="001A17D5">
      <w:pPr>
        <w:pStyle w:val="Heading1"/>
        <w:spacing w:line="240" w:lineRule="auto"/>
        <w:jc w:val="both"/>
      </w:pPr>
      <w:bookmarkStart w:id="1" w:name="Authors’_Bibliography"/>
      <w:bookmarkEnd w:id="1"/>
      <w:r>
        <w:t>Authors’</w:t>
      </w:r>
      <w:r>
        <w:rPr>
          <w:spacing w:val="-11"/>
        </w:rPr>
        <w:t xml:space="preserve"> </w:t>
      </w:r>
      <w:r>
        <w:rPr>
          <w:spacing w:val="-2"/>
        </w:rPr>
        <w:t>Bibliography</w:t>
      </w:r>
    </w:p>
    <w:p w14:paraId="0BA7A471" w14:textId="38A061BA" w:rsidR="00521B5E" w:rsidRDefault="001A17D5">
      <w:pPr>
        <w:pStyle w:val="BodyText"/>
        <w:spacing w:before="111"/>
        <w:ind w:left="140" w:right="286" w:firstLine="283"/>
        <w:jc w:val="both"/>
      </w:pPr>
      <w:r>
        <w:t>Sela Dea Putri was born in Palembang, on</w:t>
      </w:r>
      <w:r>
        <w:rPr>
          <w:spacing w:val="40"/>
        </w:rPr>
        <w:t xml:space="preserve"> </w:t>
      </w:r>
      <w:r>
        <w:t>eleventh of September 2001. She graduated</w:t>
      </w:r>
      <w:r>
        <w:rPr>
          <w:spacing w:val="-1"/>
        </w:rPr>
        <w:t xml:space="preserve"> </w:t>
      </w:r>
      <w:r>
        <w:t>her Economics Diploma from Sriwijaya Polytechnic and now she continues her Bachelor degree at Tridinanti University.</w:t>
      </w:r>
      <w:r w:rsidR="002F684B">
        <w:t xml:space="preserve"> Email : </w:t>
      </w:r>
      <w:hyperlink r:id="rId15" w:history="1">
        <w:r w:rsidR="002F684B" w:rsidRPr="00604C9D">
          <w:rPr>
            <w:rStyle w:val="Hyperlink"/>
            <w:sz w:val="16"/>
            <w:szCs w:val="16"/>
          </w:rPr>
          <w:t>seladeaputrii@gmail.com</w:t>
        </w:r>
      </w:hyperlink>
      <w:r w:rsidR="002F684B">
        <w:rPr>
          <w:color w:val="000000"/>
          <w:sz w:val="16"/>
          <w:szCs w:val="16"/>
        </w:rPr>
        <w:t> .</w:t>
      </w:r>
    </w:p>
    <w:p w14:paraId="395C3315" w14:textId="77777777" w:rsidR="00521B5E" w:rsidRDefault="001A17D5">
      <w:pPr>
        <w:pStyle w:val="BodyText"/>
        <w:ind w:left="140" w:right="277" w:firstLine="283"/>
        <w:jc w:val="both"/>
      </w:pPr>
      <w:r>
        <w:t>Rosalina Pebrica Mayasari is</w:t>
      </w:r>
      <w:r>
        <w:rPr>
          <w:spacing w:val="-2"/>
        </w:rPr>
        <w:t xml:space="preserve"> </w:t>
      </w:r>
      <w:r>
        <w:t>a</w:t>
      </w:r>
      <w:r>
        <w:rPr>
          <w:spacing w:val="-4"/>
        </w:rPr>
        <w:t xml:space="preserve"> </w:t>
      </w:r>
      <w:r>
        <w:t>lecturer of</w:t>
      </w:r>
      <w:r>
        <w:rPr>
          <w:spacing w:val="-1"/>
        </w:rPr>
        <w:t xml:space="preserve"> </w:t>
      </w:r>
      <w:r>
        <w:t>the Business Economics Department at Tridinanti University. She was born in Palembang on</w:t>
      </w:r>
      <w:r>
        <w:rPr>
          <w:spacing w:val="40"/>
        </w:rPr>
        <w:t xml:space="preserve"> </w:t>
      </w:r>
      <w:r>
        <w:t>February 26</w:t>
      </w:r>
      <w:r>
        <w:rPr>
          <w:vertAlign w:val="superscript"/>
        </w:rPr>
        <w:t>th</w:t>
      </w:r>
      <w:r>
        <w:t xml:space="preserve"> 1983. She finished her Master's Degree from Sriwijaya University and graduated her Doctoral Degree from Brawijaya University. Her primary interest is Sharia accounting. Email: </w:t>
      </w:r>
      <w:hyperlink r:id="rId16">
        <w:r w:rsidR="00521B5E">
          <w:rPr>
            <w:color w:val="0000FF"/>
            <w:u w:val="single" w:color="0000FF"/>
          </w:rPr>
          <w:t>rosalina_mayasari@yahoo.com</w:t>
        </w:r>
        <w:r w:rsidR="00521B5E">
          <w:t>.</w:t>
        </w:r>
      </w:hyperlink>
    </w:p>
    <w:p w14:paraId="212070AA" w14:textId="77777777" w:rsidR="00521B5E" w:rsidRDefault="001A17D5">
      <w:pPr>
        <w:pStyle w:val="BodyText"/>
        <w:spacing w:before="3"/>
        <w:ind w:left="140" w:right="274" w:firstLine="283"/>
        <w:jc w:val="both"/>
      </w:pPr>
      <w:r>
        <w:t>Yuni Rachmawati</w:t>
      </w:r>
      <w:r>
        <w:rPr>
          <w:spacing w:val="-3"/>
        </w:rPr>
        <w:t xml:space="preserve"> </w:t>
      </w:r>
      <w:r>
        <w:t>is</w:t>
      </w:r>
      <w:r>
        <w:rPr>
          <w:spacing w:val="-1"/>
        </w:rPr>
        <w:t xml:space="preserve"> </w:t>
      </w:r>
      <w:r>
        <w:t>a lecturer of the Business and Economics Department</w:t>
      </w:r>
      <w:r>
        <w:rPr>
          <w:spacing w:val="-3"/>
        </w:rPr>
        <w:t xml:space="preserve"> </w:t>
      </w:r>
      <w:r>
        <w:t>at</w:t>
      </w:r>
      <w:r>
        <w:rPr>
          <w:spacing w:val="-3"/>
        </w:rPr>
        <w:t xml:space="preserve"> </w:t>
      </w:r>
      <w:r>
        <w:t>Tridinanti University. She was born in Palembang on june 26th 1988. She finished her Master's Degree from Sriwijaya University.</w:t>
      </w:r>
      <w:r>
        <w:rPr>
          <w:spacing w:val="40"/>
        </w:rPr>
        <w:t xml:space="preserve"> </w:t>
      </w:r>
      <w:r>
        <w:t xml:space="preserve">Her primary interests are financial accounting, auditing, and tax field. Email: </w:t>
      </w:r>
      <w:hyperlink r:id="rId17">
        <w:r w:rsidR="00521B5E">
          <w:rPr>
            <w:color w:val="0000FF"/>
            <w:u w:val="single" w:color="0000FF"/>
          </w:rPr>
          <w:t>yunirachmawati@univ-</w:t>
        </w:r>
      </w:hyperlink>
      <w:r>
        <w:rPr>
          <w:color w:val="0000FF"/>
        </w:rPr>
        <w:t xml:space="preserve"> </w:t>
      </w:r>
      <w:hyperlink r:id="rId18">
        <w:r w:rsidR="00521B5E">
          <w:rPr>
            <w:color w:val="0000FF"/>
            <w:spacing w:val="-2"/>
            <w:u w:val="single" w:color="0000FF"/>
          </w:rPr>
          <w:t>tridinanti.ac.id</w:t>
        </w:r>
        <w:r w:rsidR="00521B5E">
          <w:rPr>
            <w:spacing w:val="-2"/>
          </w:rPr>
          <w:t>.</w:t>
        </w:r>
      </w:hyperlink>
    </w:p>
    <w:sectPr w:rsidR="00521B5E">
      <w:pgSz w:w="11910" w:h="16840"/>
      <w:pgMar w:top="1920" w:right="1275" w:bottom="280" w:left="1559" w:header="36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3B88" w14:textId="77777777" w:rsidR="009D48E9" w:rsidRDefault="009D48E9">
      <w:r>
        <w:separator/>
      </w:r>
    </w:p>
  </w:endnote>
  <w:endnote w:type="continuationSeparator" w:id="0">
    <w:p w14:paraId="14729BD7" w14:textId="77777777" w:rsidR="009D48E9" w:rsidRDefault="009D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EB6E" w14:textId="77777777" w:rsidR="00A20280" w:rsidRDefault="00A202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557778"/>
      <w:docPartObj>
        <w:docPartGallery w:val="Page Numbers (Bottom of Page)"/>
        <w:docPartUnique/>
      </w:docPartObj>
    </w:sdtPr>
    <w:sdtEndPr>
      <w:rPr>
        <w:noProof/>
        <w:sz w:val="20"/>
        <w:szCs w:val="20"/>
      </w:rPr>
    </w:sdtEndPr>
    <w:sdtContent>
      <w:p w14:paraId="415F3A29" w14:textId="55311227" w:rsidR="006972BC" w:rsidRPr="00090879" w:rsidRDefault="006972BC">
        <w:pPr>
          <w:pStyle w:val="Footer"/>
          <w:jc w:val="center"/>
          <w:rPr>
            <w:sz w:val="20"/>
            <w:szCs w:val="20"/>
          </w:rPr>
        </w:pPr>
        <w:r w:rsidRPr="00090879">
          <w:rPr>
            <w:sz w:val="20"/>
            <w:szCs w:val="20"/>
          </w:rPr>
          <w:fldChar w:fldCharType="begin"/>
        </w:r>
        <w:r w:rsidRPr="00090879">
          <w:rPr>
            <w:sz w:val="20"/>
            <w:szCs w:val="20"/>
          </w:rPr>
          <w:instrText xml:space="preserve"> PAGE   \* MERGEFORMAT </w:instrText>
        </w:r>
        <w:r w:rsidRPr="00090879">
          <w:rPr>
            <w:sz w:val="20"/>
            <w:szCs w:val="20"/>
          </w:rPr>
          <w:fldChar w:fldCharType="separate"/>
        </w:r>
        <w:r w:rsidR="00C365DA">
          <w:rPr>
            <w:noProof/>
            <w:sz w:val="20"/>
            <w:szCs w:val="20"/>
          </w:rPr>
          <w:t>225</w:t>
        </w:r>
        <w:r w:rsidRPr="00090879">
          <w:rPr>
            <w:noProof/>
            <w:sz w:val="20"/>
            <w:szCs w:val="20"/>
          </w:rPr>
          <w:fldChar w:fldCharType="end"/>
        </w:r>
      </w:p>
    </w:sdtContent>
  </w:sdt>
  <w:p w14:paraId="0B9E60BB" w14:textId="77777777" w:rsidR="006972BC" w:rsidRDefault="006972B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82D0" w14:textId="77777777" w:rsidR="00A20280" w:rsidRDefault="00A202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8C067" w14:textId="77777777" w:rsidR="009D48E9" w:rsidRDefault="009D48E9">
      <w:r>
        <w:separator/>
      </w:r>
    </w:p>
  </w:footnote>
  <w:footnote w:type="continuationSeparator" w:id="0">
    <w:p w14:paraId="066C0F67" w14:textId="77777777" w:rsidR="009D48E9" w:rsidRDefault="009D48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D31C" w14:textId="77777777" w:rsidR="00A20280" w:rsidRDefault="00A202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05BF" w14:textId="77777777" w:rsidR="00A724DC" w:rsidRDefault="00A724DC" w:rsidP="00A724DC">
    <w:pPr>
      <w:spacing w:before="30" w:line="228" w:lineRule="exact"/>
      <w:ind w:left="20"/>
      <w:rPr>
        <w:b/>
        <w:sz w:val="20"/>
      </w:rPr>
    </w:pPr>
  </w:p>
  <w:p w14:paraId="31A7A7ED" w14:textId="77777777" w:rsidR="00A724DC" w:rsidRDefault="00A724DC" w:rsidP="00A724DC">
    <w:pPr>
      <w:spacing w:before="30" w:line="228" w:lineRule="exact"/>
      <w:ind w:left="20"/>
      <w:rPr>
        <w:b/>
        <w:sz w:val="20"/>
      </w:rPr>
    </w:pPr>
  </w:p>
  <w:p w14:paraId="185AD12B" w14:textId="76D7C9F6" w:rsidR="00A724DC" w:rsidRDefault="00A724DC" w:rsidP="00A724DC">
    <w:pPr>
      <w:spacing w:before="30" w:line="228" w:lineRule="exact"/>
      <w:ind w:left="20"/>
      <w:rPr>
        <w:b/>
        <w:sz w:val="18"/>
      </w:rPr>
    </w:pPr>
    <w:r>
      <w:rPr>
        <w:b/>
        <w:sz w:val="20"/>
      </w:rPr>
      <w:t xml:space="preserve">          The</w:t>
    </w:r>
    <w:r>
      <w:rPr>
        <w:b/>
        <w:spacing w:val="-7"/>
        <w:sz w:val="20"/>
      </w:rPr>
      <w:t xml:space="preserve"> </w:t>
    </w:r>
    <w:r>
      <w:rPr>
        <w:b/>
        <w:sz w:val="20"/>
      </w:rPr>
      <w:t>2</w:t>
    </w:r>
    <w:r>
      <w:rPr>
        <w:b/>
        <w:sz w:val="20"/>
        <w:vertAlign w:val="superscript"/>
      </w:rPr>
      <w:t>nd</w:t>
    </w:r>
    <w:r>
      <w:rPr>
        <w:b/>
        <w:spacing w:val="-11"/>
        <w:sz w:val="20"/>
      </w:rPr>
      <w:t xml:space="preserve"> </w:t>
    </w:r>
    <w:r>
      <w:rPr>
        <w:b/>
        <w:sz w:val="20"/>
      </w:rPr>
      <w:t>International</w:t>
    </w:r>
    <w:r>
      <w:rPr>
        <w:b/>
        <w:spacing w:val="-5"/>
        <w:sz w:val="20"/>
      </w:rPr>
      <w:t xml:space="preserve"> </w:t>
    </w:r>
    <w:r>
      <w:rPr>
        <w:b/>
        <w:sz w:val="20"/>
      </w:rPr>
      <w:t>Students</w:t>
    </w:r>
    <w:r>
      <w:rPr>
        <w:b/>
        <w:spacing w:val="-7"/>
        <w:sz w:val="20"/>
      </w:rPr>
      <w:t xml:space="preserve"> </w:t>
    </w:r>
    <w:r>
      <w:rPr>
        <w:b/>
        <w:sz w:val="20"/>
      </w:rPr>
      <w:t>Conference</w:t>
    </w:r>
    <w:r>
      <w:rPr>
        <w:b/>
        <w:spacing w:val="-9"/>
        <w:sz w:val="20"/>
      </w:rPr>
      <w:t xml:space="preserve"> </w:t>
    </w:r>
    <w:r>
      <w:rPr>
        <w:b/>
        <w:sz w:val="20"/>
      </w:rPr>
      <w:t>on</w:t>
    </w:r>
    <w:r>
      <w:rPr>
        <w:b/>
        <w:spacing w:val="-8"/>
        <w:sz w:val="20"/>
      </w:rPr>
      <w:t xml:space="preserve"> </w:t>
    </w:r>
    <w:r>
      <w:rPr>
        <w:b/>
        <w:sz w:val="20"/>
      </w:rPr>
      <w:t>Economics</w:t>
    </w:r>
    <w:r>
      <w:rPr>
        <w:b/>
        <w:spacing w:val="-7"/>
        <w:sz w:val="20"/>
      </w:rPr>
      <w:t xml:space="preserve"> </w:t>
    </w:r>
    <w:r>
      <w:rPr>
        <w:b/>
        <w:sz w:val="20"/>
      </w:rPr>
      <w:t>and</w:t>
    </w:r>
    <w:r>
      <w:rPr>
        <w:b/>
        <w:spacing w:val="-12"/>
        <w:sz w:val="20"/>
      </w:rPr>
      <w:t xml:space="preserve"> </w:t>
    </w:r>
    <w:r>
      <w:rPr>
        <w:b/>
        <w:sz w:val="20"/>
      </w:rPr>
      <w:t>Business</w:t>
    </w:r>
    <w:r>
      <w:rPr>
        <w:b/>
        <w:spacing w:val="-7"/>
        <w:sz w:val="20"/>
      </w:rPr>
      <w:t xml:space="preserve"> </w:t>
    </w:r>
    <w:r>
      <w:rPr>
        <w:b/>
        <w:sz w:val="20"/>
      </w:rPr>
      <w:t>Excellence (ISCEBE)</w:t>
    </w:r>
    <w:r>
      <w:rPr>
        <w:b/>
        <w:spacing w:val="-13"/>
        <w:sz w:val="20"/>
      </w:rPr>
      <w:t xml:space="preserve"> </w:t>
    </w:r>
    <w:r w:rsidRPr="00A724DC">
      <w:rPr>
        <w:b/>
        <w:spacing w:val="-4"/>
        <w:sz w:val="20"/>
        <w:szCs w:val="20"/>
      </w:rPr>
      <w:t>2025</w:t>
    </w:r>
  </w:p>
  <w:p w14:paraId="6F172966" w14:textId="314BEA75" w:rsidR="00A724DC" w:rsidRDefault="001C5D66" w:rsidP="001C5D66">
    <w:pPr>
      <w:pStyle w:val="BodyText"/>
      <w:spacing w:line="228" w:lineRule="exact"/>
    </w:pPr>
    <w:r>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         </w:t>
    </w:r>
    <w:r w:rsidR="00A724DC">
      <w:rPr>
        <w:spacing w:val="-2"/>
      </w:rPr>
      <w:t xml:space="preserve">                      e-</w:t>
    </w:r>
    <w:r w:rsidR="00A724DC">
      <w:rPr>
        <w:spacing w:val="-4"/>
      </w:rPr>
      <w:t>ISSN:</w:t>
    </w:r>
    <w:r w:rsidR="00A724DC" w:rsidRPr="00260999">
      <w:t xml:space="preserve"> </w:t>
    </w:r>
    <w:r w:rsidR="00A724DC" w:rsidRPr="00260999">
      <w:rPr>
        <w:spacing w:val="-4"/>
      </w:rPr>
      <w:t>3090-4811</w:t>
    </w:r>
  </w:p>
  <w:p w14:paraId="669C1288" w14:textId="64B8540E" w:rsidR="00A724DC" w:rsidRDefault="00A724DC" w:rsidP="00A724DC">
    <w:pPr>
      <w:pStyle w:val="BodyText"/>
      <w:ind w:left="5705" w:firstLine="55"/>
    </w:pPr>
    <w:r>
      <w:t xml:space="preserve"> </w:t>
    </w:r>
    <w:r w:rsidR="001C5D66">
      <w:t xml:space="preserve">   </w:t>
    </w:r>
    <w:r>
      <w:t xml:space="preserve">    </w:t>
    </w:r>
    <w:r w:rsidRPr="005B0A15">
      <w:t>Vol. 2</w:t>
    </w:r>
    <w:r>
      <w:t xml:space="preserve"> No.1</w:t>
    </w:r>
    <w:r w:rsidRPr="005B0A15">
      <w:t>/</w:t>
    </w:r>
    <w:r>
      <w:t>AC</w:t>
    </w:r>
    <w:r w:rsidRPr="005B0A15">
      <w:t>-ISCEBE (2025)</w:t>
    </w:r>
  </w:p>
  <w:p w14:paraId="3AC3245D" w14:textId="12D001CA" w:rsidR="00521B5E" w:rsidRDefault="00260999">
    <w:pPr>
      <w:pStyle w:val="BodyText"/>
      <w:spacing w:line="14" w:lineRule="auto"/>
    </w:pPr>
    <w:r>
      <w:rPr>
        <w:noProof/>
      </w:rPr>
      <w:drawing>
        <wp:anchor distT="0" distB="0" distL="0" distR="0" simplePos="0" relativeHeight="251657216" behindDoc="1" locked="0" layoutInCell="1" allowOverlap="1" wp14:anchorId="50F2664D" wp14:editId="50E15F39">
          <wp:simplePos x="0" y="0"/>
          <wp:positionH relativeFrom="page">
            <wp:posOffset>3273169</wp:posOffset>
          </wp:positionH>
          <wp:positionV relativeFrom="page">
            <wp:posOffset>233691</wp:posOffset>
          </wp:positionV>
          <wp:extent cx="1189735" cy="266335"/>
          <wp:effectExtent l="0" t="0" r="0" b="0"/>
          <wp:wrapNone/>
          <wp:docPr id="123068632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9735" cy="266335"/>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14:anchorId="319330A1" wp14:editId="471DACD5">
              <wp:simplePos x="0" y="0"/>
              <wp:positionH relativeFrom="page">
                <wp:posOffset>1080135</wp:posOffset>
              </wp:positionH>
              <wp:positionV relativeFrom="page">
                <wp:posOffset>1202689</wp:posOffset>
              </wp:positionV>
              <wp:extent cx="127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700"/>
                      </a:xfrm>
                      <a:custGeom>
                        <a:avLst/>
                        <a:gdLst/>
                        <a:ahLst/>
                        <a:cxnLst/>
                        <a:rect l="l" t="t" r="r" b="b"/>
                        <a:pathLst>
                          <a:path w="635" h="12700">
                            <a:moveTo>
                              <a:pt x="0" y="0"/>
                            </a:moveTo>
                            <a:lnTo>
                              <a:pt x="634" y="1270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4DA7C" id="Graphic 2" o:spid="_x0000_s1026" style="position:absolute;margin-left:85.05pt;margin-top:94.7pt;width:.1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" path="m,l634,12700e" fill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70D0" w14:textId="77777777" w:rsidR="00A20280" w:rsidRDefault="00A202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114A"/>
    <w:multiLevelType w:val="hybridMultilevel"/>
    <w:tmpl w:val="CBB2E14A"/>
    <w:lvl w:ilvl="0" w:tplc="5A501DC6">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098CF12">
      <w:numFmt w:val="bullet"/>
      <w:lvlText w:val="•"/>
      <w:lvlJc w:val="left"/>
      <w:pPr>
        <w:ind w:left="1681" w:hanging="360"/>
      </w:pPr>
      <w:rPr>
        <w:rFonts w:hint="default"/>
        <w:lang w:val="en-US" w:eastAsia="en-US" w:bidi="ar-SA"/>
      </w:rPr>
    </w:lvl>
    <w:lvl w:ilvl="2" w:tplc="73FE5EB8">
      <w:numFmt w:val="bullet"/>
      <w:lvlText w:val="•"/>
      <w:lvlJc w:val="left"/>
      <w:pPr>
        <w:ind w:left="2502" w:hanging="360"/>
      </w:pPr>
      <w:rPr>
        <w:rFonts w:hint="default"/>
        <w:lang w:val="en-US" w:eastAsia="en-US" w:bidi="ar-SA"/>
      </w:rPr>
    </w:lvl>
    <w:lvl w:ilvl="3" w:tplc="0BDC7200">
      <w:numFmt w:val="bullet"/>
      <w:lvlText w:val="•"/>
      <w:lvlJc w:val="left"/>
      <w:pPr>
        <w:ind w:left="3323" w:hanging="360"/>
      </w:pPr>
      <w:rPr>
        <w:rFonts w:hint="default"/>
        <w:lang w:val="en-US" w:eastAsia="en-US" w:bidi="ar-SA"/>
      </w:rPr>
    </w:lvl>
    <w:lvl w:ilvl="4" w:tplc="DBBE9AD6">
      <w:numFmt w:val="bullet"/>
      <w:lvlText w:val="•"/>
      <w:lvlJc w:val="left"/>
      <w:pPr>
        <w:ind w:left="4144" w:hanging="360"/>
      </w:pPr>
      <w:rPr>
        <w:rFonts w:hint="default"/>
        <w:lang w:val="en-US" w:eastAsia="en-US" w:bidi="ar-SA"/>
      </w:rPr>
    </w:lvl>
    <w:lvl w:ilvl="5" w:tplc="6C043970">
      <w:numFmt w:val="bullet"/>
      <w:lvlText w:val="•"/>
      <w:lvlJc w:val="left"/>
      <w:pPr>
        <w:ind w:left="4965" w:hanging="360"/>
      </w:pPr>
      <w:rPr>
        <w:rFonts w:hint="default"/>
        <w:lang w:val="en-US" w:eastAsia="en-US" w:bidi="ar-SA"/>
      </w:rPr>
    </w:lvl>
    <w:lvl w:ilvl="6" w:tplc="C61A5A82">
      <w:numFmt w:val="bullet"/>
      <w:lvlText w:val="•"/>
      <w:lvlJc w:val="left"/>
      <w:pPr>
        <w:ind w:left="5786" w:hanging="360"/>
      </w:pPr>
      <w:rPr>
        <w:rFonts w:hint="default"/>
        <w:lang w:val="en-US" w:eastAsia="en-US" w:bidi="ar-SA"/>
      </w:rPr>
    </w:lvl>
    <w:lvl w:ilvl="7" w:tplc="A15A846C">
      <w:numFmt w:val="bullet"/>
      <w:lvlText w:val="•"/>
      <w:lvlJc w:val="left"/>
      <w:pPr>
        <w:ind w:left="6607" w:hanging="360"/>
      </w:pPr>
      <w:rPr>
        <w:rFonts w:hint="default"/>
        <w:lang w:val="en-US" w:eastAsia="en-US" w:bidi="ar-SA"/>
      </w:rPr>
    </w:lvl>
    <w:lvl w:ilvl="8" w:tplc="822C485E">
      <w:numFmt w:val="bullet"/>
      <w:lvlText w:val="•"/>
      <w:lvlJc w:val="left"/>
      <w:pPr>
        <w:ind w:left="7428" w:hanging="360"/>
      </w:pPr>
      <w:rPr>
        <w:rFonts w:hint="default"/>
        <w:lang w:val="en-US" w:eastAsia="en-US" w:bidi="ar-SA"/>
      </w:rPr>
    </w:lvl>
  </w:abstractNum>
  <w:abstractNum w:abstractNumId="1" w15:restartNumberingAfterBreak="0">
    <w:nsid w:val="74BF059C"/>
    <w:multiLevelType w:val="hybridMultilevel"/>
    <w:tmpl w:val="D0D8949C"/>
    <w:lvl w:ilvl="0" w:tplc="D26AD954">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5563894">
      <w:numFmt w:val="bullet"/>
      <w:lvlText w:val="•"/>
      <w:lvlJc w:val="left"/>
      <w:pPr>
        <w:ind w:left="1681" w:hanging="360"/>
      </w:pPr>
      <w:rPr>
        <w:rFonts w:hint="default"/>
        <w:lang w:val="en-US" w:eastAsia="en-US" w:bidi="ar-SA"/>
      </w:rPr>
    </w:lvl>
    <w:lvl w:ilvl="2" w:tplc="CEF6619E">
      <w:numFmt w:val="bullet"/>
      <w:lvlText w:val="•"/>
      <w:lvlJc w:val="left"/>
      <w:pPr>
        <w:ind w:left="2502" w:hanging="360"/>
      </w:pPr>
      <w:rPr>
        <w:rFonts w:hint="default"/>
        <w:lang w:val="en-US" w:eastAsia="en-US" w:bidi="ar-SA"/>
      </w:rPr>
    </w:lvl>
    <w:lvl w:ilvl="3" w:tplc="5D4818EE">
      <w:numFmt w:val="bullet"/>
      <w:lvlText w:val="•"/>
      <w:lvlJc w:val="left"/>
      <w:pPr>
        <w:ind w:left="3323" w:hanging="360"/>
      </w:pPr>
      <w:rPr>
        <w:rFonts w:hint="default"/>
        <w:lang w:val="en-US" w:eastAsia="en-US" w:bidi="ar-SA"/>
      </w:rPr>
    </w:lvl>
    <w:lvl w:ilvl="4" w:tplc="C4D258AE">
      <w:numFmt w:val="bullet"/>
      <w:lvlText w:val="•"/>
      <w:lvlJc w:val="left"/>
      <w:pPr>
        <w:ind w:left="4144" w:hanging="360"/>
      </w:pPr>
      <w:rPr>
        <w:rFonts w:hint="default"/>
        <w:lang w:val="en-US" w:eastAsia="en-US" w:bidi="ar-SA"/>
      </w:rPr>
    </w:lvl>
    <w:lvl w:ilvl="5" w:tplc="894CB10E">
      <w:numFmt w:val="bullet"/>
      <w:lvlText w:val="•"/>
      <w:lvlJc w:val="left"/>
      <w:pPr>
        <w:ind w:left="4965" w:hanging="360"/>
      </w:pPr>
      <w:rPr>
        <w:rFonts w:hint="default"/>
        <w:lang w:val="en-US" w:eastAsia="en-US" w:bidi="ar-SA"/>
      </w:rPr>
    </w:lvl>
    <w:lvl w:ilvl="6" w:tplc="E444912A">
      <w:numFmt w:val="bullet"/>
      <w:lvlText w:val="•"/>
      <w:lvlJc w:val="left"/>
      <w:pPr>
        <w:ind w:left="5786" w:hanging="360"/>
      </w:pPr>
      <w:rPr>
        <w:rFonts w:hint="default"/>
        <w:lang w:val="en-US" w:eastAsia="en-US" w:bidi="ar-SA"/>
      </w:rPr>
    </w:lvl>
    <w:lvl w:ilvl="7" w:tplc="726E59C4">
      <w:numFmt w:val="bullet"/>
      <w:lvlText w:val="•"/>
      <w:lvlJc w:val="left"/>
      <w:pPr>
        <w:ind w:left="6607" w:hanging="360"/>
      </w:pPr>
      <w:rPr>
        <w:rFonts w:hint="default"/>
        <w:lang w:val="en-US" w:eastAsia="en-US" w:bidi="ar-SA"/>
      </w:rPr>
    </w:lvl>
    <w:lvl w:ilvl="8" w:tplc="1A741CF0">
      <w:numFmt w:val="bullet"/>
      <w:lvlText w:val="•"/>
      <w:lvlJc w:val="left"/>
      <w:pPr>
        <w:ind w:left="7428"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21B5E"/>
    <w:rsid w:val="00090879"/>
    <w:rsid w:val="001351C0"/>
    <w:rsid w:val="001A17D5"/>
    <w:rsid w:val="001C5D66"/>
    <w:rsid w:val="00260999"/>
    <w:rsid w:val="002F1B22"/>
    <w:rsid w:val="002F684B"/>
    <w:rsid w:val="00395D36"/>
    <w:rsid w:val="003B405B"/>
    <w:rsid w:val="00521B5E"/>
    <w:rsid w:val="00527A81"/>
    <w:rsid w:val="0055765F"/>
    <w:rsid w:val="005B0A15"/>
    <w:rsid w:val="005D0B5A"/>
    <w:rsid w:val="006972BC"/>
    <w:rsid w:val="006F2BDA"/>
    <w:rsid w:val="007F1885"/>
    <w:rsid w:val="009D48E9"/>
    <w:rsid w:val="00A20280"/>
    <w:rsid w:val="00A724DC"/>
    <w:rsid w:val="00A77B38"/>
    <w:rsid w:val="00AD4849"/>
    <w:rsid w:val="00C365DA"/>
    <w:rsid w:val="00E15D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57515"/>
  <w15:docId w15:val="{D8A1382E-9E88-4615-A331-A30B65BB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28" w:lineRule="exact"/>
      <w:ind w:left="14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3"/>
      <w:ind w:left="19" w:right="18"/>
      <w:jc w:val="center"/>
    </w:pPr>
    <w:rPr>
      <w:b/>
      <w:bCs/>
      <w:sz w:val="24"/>
      <w:szCs w:val="24"/>
    </w:rPr>
  </w:style>
  <w:style w:type="paragraph" w:styleId="ListParagraph">
    <w:name w:val="List Paragraph"/>
    <w:basedOn w:val="Normal"/>
    <w:uiPriority w:val="1"/>
    <w:qFormat/>
    <w:pPr>
      <w:spacing w:before="1"/>
      <w:ind w:left="861" w:right="140" w:hanging="360"/>
      <w:jc w:val="both"/>
    </w:pPr>
  </w:style>
  <w:style w:type="paragraph" w:customStyle="1" w:styleId="TableParagraph">
    <w:name w:val="Table Paragraph"/>
    <w:basedOn w:val="Normal"/>
    <w:uiPriority w:val="1"/>
    <w:qFormat/>
    <w:pPr>
      <w:spacing w:line="186" w:lineRule="exact"/>
    </w:pPr>
    <w:rPr>
      <w:rFonts w:ascii="Arial MT" w:eastAsia="Arial MT" w:hAnsi="Arial MT" w:cs="Arial MT"/>
    </w:rPr>
  </w:style>
  <w:style w:type="character" w:styleId="Hyperlink">
    <w:name w:val="Hyperlink"/>
    <w:uiPriority w:val="99"/>
    <w:unhideWhenUsed/>
    <w:rsid w:val="002F684B"/>
    <w:rPr>
      <w:color w:val="0000FF"/>
      <w:u w:val="single"/>
    </w:rPr>
  </w:style>
  <w:style w:type="paragraph" w:styleId="Header">
    <w:name w:val="header"/>
    <w:basedOn w:val="Normal"/>
    <w:link w:val="HeaderChar"/>
    <w:uiPriority w:val="99"/>
    <w:unhideWhenUsed/>
    <w:rsid w:val="00260999"/>
    <w:pPr>
      <w:tabs>
        <w:tab w:val="center" w:pos="4513"/>
        <w:tab w:val="right" w:pos="9026"/>
      </w:tabs>
    </w:pPr>
  </w:style>
  <w:style w:type="character" w:customStyle="1" w:styleId="HeaderChar">
    <w:name w:val="Header Char"/>
    <w:basedOn w:val="DefaultParagraphFont"/>
    <w:link w:val="Header"/>
    <w:uiPriority w:val="99"/>
    <w:rsid w:val="00260999"/>
    <w:rPr>
      <w:rFonts w:ascii="Times New Roman" w:eastAsia="Times New Roman" w:hAnsi="Times New Roman" w:cs="Times New Roman"/>
    </w:rPr>
  </w:style>
  <w:style w:type="paragraph" w:styleId="Footer">
    <w:name w:val="footer"/>
    <w:basedOn w:val="Normal"/>
    <w:link w:val="FooterChar"/>
    <w:uiPriority w:val="99"/>
    <w:unhideWhenUsed/>
    <w:rsid w:val="00260999"/>
    <w:pPr>
      <w:tabs>
        <w:tab w:val="center" w:pos="4513"/>
        <w:tab w:val="right" w:pos="9026"/>
      </w:tabs>
    </w:pPr>
  </w:style>
  <w:style w:type="character" w:customStyle="1" w:styleId="FooterChar">
    <w:name w:val="Footer Char"/>
    <w:basedOn w:val="DefaultParagraphFont"/>
    <w:link w:val="Footer"/>
    <w:uiPriority w:val="99"/>
    <w:rsid w:val="00260999"/>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724D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yunirachmawati@univ-tridinanti.ac.id" TargetMode="External"/><Relationship Id="rId3" Type="http://schemas.openxmlformats.org/officeDocument/2006/relationships/settings" Target="settings.xml"/><Relationship Id="rId7" Type="http://schemas.openxmlformats.org/officeDocument/2006/relationships/hyperlink" Target="mailto:yunirachmawati@univ-tridinanti.ac.id" TargetMode="External"/><Relationship Id="rId12" Type="http://schemas.openxmlformats.org/officeDocument/2006/relationships/footer" Target="footer2.xml"/><Relationship Id="rId17" Type="http://schemas.openxmlformats.org/officeDocument/2006/relationships/hyperlink" Target="mailto:yunirachmawati@univ-tridinanti.ac.id" TargetMode="External"/><Relationship Id="rId2" Type="http://schemas.openxmlformats.org/officeDocument/2006/relationships/styles" Target="styles.xml"/><Relationship Id="rId16" Type="http://schemas.openxmlformats.org/officeDocument/2006/relationships/hyperlink" Target="mailto:rosalina_mayasari@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eladeaputrii@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International Student Conference FEB</cp:lastModifiedBy>
  <cp:revision>16</cp:revision>
  <dcterms:created xsi:type="dcterms:W3CDTF">2025-06-14T13:48:00Z</dcterms:created>
  <dcterms:modified xsi:type="dcterms:W3CDTF">2025-08-28T03:59:00Z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2016</vt:lpwstr>
  </property>
  <property fmtid="{D5CDD505-2E9C-101B-9397-08002B2CF9AE}" pid="4" name="LastSaved">
    <vt:filetime>2025-06-14T00:00:00Z</vt:filetime>
  </property>
  <property fmtid="{D5CDD505-2E9C-101B-9397-08002B2CF9AE}" pid="5" name="Producer">
    <vt:lpwstr>iLovePDF</vt:lpwstr>
  </property>
</Properties>
</file>